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043B"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Авдеенков, Александр Владимирович.</w:t>
      </w:r>
    </w:p>
    <w:p w14:paraId="1B0F26A0"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Микроскопическое описание одночастичных характеристик немагических ядер : диссертация ... кандидата физико-математических наук : 01.04.16. - Обнинск, 1999. - 105 с. : ил.</w:t>
      </w:r>
    </w:p>
    <w:p w14:paraId="2F497DC6"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Оглавление диссертациикандидат физико-математических наук Авдеенков, Александр Владимирович</w:t>
      </w:r>
    </w:p>
    <w:p w14:paraId="316AF0DE"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I Описание возбуждений нечетных ядер в методе функций</w:t>
      </w:r>
    </w:p>
    <w:p w14:paraId="6EA7499D"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Грина.</w:t>
      </w:r>
    </w:p>
    <w:p w14:paraId="22C00B7E"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 Уравнения для одночастичных функций Грина в немагических ядрах.</w:t>
      </w:r>
    </w:p>
    <w:p w14:paraId="3C859333"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1.2 Формальное решение уравнения Дайсона.</w:t>
      </w:r>
    </w:p>
    <w:p w14:paraId="6B6CEEBB"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1.3 Спектроскопические факторы.</w:t>
      </w:r>
    </w:p>
    <w:p w14:paraId="4D0F68A7"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1.4 Одночастичные числа заполнения.</w:t>
      </w:r>
    </w:p>
    <w:p w14:paraId="632EBE16"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II Анализ уравнений для нечетных ядер. Простая трехуровневая модель.</w:t>
      </w:r>
    </w:p>
    <w:p w14:paraId="133F2FA8"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 Выбор массовых операторов.</w:t>
      </w:r>
    </w:p>
    <w:p w14:paraId="7A13F574"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11.2 Оценки применимости д2 - приближения.</w:t>
      </w:r>
    </w:p>
    <w:p w14:paraId="6ABC5089"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11.3 Начальные данные и очистка одночастичных энергий и спаривательной щели.</w:t>
      </w:r>
    </w:p>
    <w:p w14:paraId="556A791A"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11.4 Уравнение для спаривательной щели и ее очистка.</w:t>
      </w:r>
    </w:p>
    <w:p w14:paraId="70B4B269"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11.5 Основные уравнения без учета корреляций в основном состоянии.</w:t>
      </w:r>
    </w:p>
    <w:p w14:paraId="5F2D496C"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11.6 Влияние квазичастично- фононного взаимодействия на одночастичные числа заполнения для немагических ядер</w:t>
      </w:r>
    </w:p>
    <w:p w14:paraId="6766A7FF"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11.7 Схематическая трехуровневая модель.</w:t>
      </w:r>
    </w:p>
    <w:p w14:paraId="6847D3D3"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II.8 Приближение радужных диаграмм для массовых операторов.</w:t>
      </w:r>
    </w:p>
    <w:p w14:paraId="26963EF7"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III Расчеты одночастичных характеристик. Роль корреляций в основном состоянии.</w:t>
      </w:r>
    </w:p>
    <w:p w14:paraId="6CFA4020"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111.1 Построение одночастичного спектра. Детали расчетов.</w:t>
      </w:r>
    </w:p>
    <w:p w14:paraId="577B06E2"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111.2 "Очистка" одночастичного спектра и величины щели.</w:t>
      </w:r>
    </w:p>
    <w:p w14:paraId="25C3DE4D"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111.3 Влияние очистки на распределение одночастичной силы</w:t>
      </w:r>
    </w:p>
    <w:p w14:paraId="6633ED69"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111.4 Влияние аномальных массовых операторов на распределение одночастичной силы.</w:t>
      </w:r>
    </w:p>
    <w:p w14:paraId="7127D33F"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111.5 Одночастичные числа заполнения в 120Sn и 8&amp;Кг.</w:t>
      </w:r>
    </w:p>
    <w:p w14:paraId="1FE00CA1"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111.6 Роль корреляций в основном состоянии.</w:t>
      </w:r>
    </w:p>
    <w:p w14:paraId="71512FF6"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111.6.1 Влияние корреляций в основном состоянии: 119Sn и 1215п.</w:t>
      </w:r>
    </w:p>
    <w:p w14:paraId="52A9E867"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111.6.2 Влияние .корреляций в основном состоянии на М1 резонанс в нестабильных 100Sn и 1325п.</w:t>
      </w:r>
    </w:p>
    <w:p w14:paraId="5B4590F5"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111.7 О применении метода ФГ в теории оптического потенциала.</w:t>
      </w:r>
    </w:p>
    <w:p w14:paraId="16D6E32B"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lastRenderedPageBreak/>
        <w:t>111.7.1 Мнимая часть массового оператора для магических ядер.</w:t>
      </w:r>
    </w:p>
    <w:p w14:paraId="4CD5AC22" w14:textId="77777777" w:rsidR="004D574D" w:rsidRPr="004D574D" w:rsidRDefault="004D574D" w:rsidP="004D574D">
      <w:pPr>
        <w:rPr>
          <w:rFonts w:ascii="Helvetica" w:eastAsia="Symbol" w:hAnsi="Helvetica" w:cs="Helvetica"/>
          <w:b/>
          <w:bCs/>
          <w:color w:val="222222"/>
          <w:kern w:val="0"/>
          <w:sz w:val="21"/>
          <w:szCs w:val="21"/>
          <w:lang w:eastAsia="ru-RU"/>
        </w:rPr>
      </w:pPr>
      <w:r w:rsidRPr="004D574D">
        <w:rPr>
          <w:rFonts w:ascii="Helvetica" w:eastAsia="Symbol" w:hAnsi="Helvetica" w:cs="Helvetica"/>
          <w:b/>
          <w:bCs/>
          <w:color w:val="222222"/>
          <w:kern w:val="0"/>
          <w:sz w:val="21"/>
          <w:szCs w:val="21"/>
          <w:lang w:eastAsia="ru-RU"/>
        </w:rPr>
        <w:t>111.7.2 Мнимая часть массового оператора для немагических ядер.</w:t>
      </w:r>
    </w:p>
    <w:p w14:paraId="3869883D" w14:textId="3259DB46" w:rsidR="00F11235" w:rsidRPr="004D574D" w:rsidRDefault="00F11235" w:rsidP="004D574D"/>
    <w:sectPr w:rsidR="00F11235" w:rsidRPr="004D57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EBEB" w14:textId="77777777" w:rsidR="006E401B" w:rsidRDefault="006E401B">
      <w:pPr>
        <w:spacing w:after="0" w:line="240" w:lineRule="auto"/>
      </w:pPr>
      <w:r>
        <w:separator/>
      </w:r>
    </w:p>
  </w:endnote>
  <w:endnote w:type="continuationSeparator" w:id="0">
    <w:p w14:paraId="4C3750F1" w14:textId="77777777" w:rsidR="006E401B" w:rsidRDefault="006E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9B6C" w14:textId="77777777" w:rsidR="006E401B" w:rsidRDefault="006E401B"/>
    <w:p w14:paraId="531A3CE0" w14:textId="77777777" w:rsidR="006E401B" w:rsidRDefault="006E401B"/>
    <w:p w14:paraId="309E3185" w14:textId="77777777" w:rsidR="006E401B" w:rsidRDefault="006E401B"/>
    <w:p w14:paraId="3FDE947B" w14:textId="77777777" w:rsidR="006E401B" w:rsidRDefault="006E401B"/>
    <w:p w14:paraId="58F3125E" w14:textId="77777777" w:rsidR="006E401B" w:rsidRDefault="006E401B"/>
    <w:p w14:paraId="00147845" w14:textId="77777777" w:rsidR="006E401B" w:rsidRDefault="006E401B"/>
    <w:p w14:paraId="2C56938F" w14:textId="77777777" w:rsidR="006E401B" w:rsidRDefault="006E40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6E0920" wp14:editId="0660F1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09AE3" w14:textId="77777777" w:rsidR="006E401B" w:rsidRDefault="006E40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E09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909AE3" w14:textId="77777777" w:rsidR="006E401B" w:rsidRDefault="006E40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679A0A" w14:textId="77777777" w:rsidR="006E401B" w:rsidRDefault="006E401B"/>
    <w:p w14:paraId="718D1E83" w14:textId="77777777" w:rsidR="006E401B" w:rsidRDefault="006E401B"/>
    <w:p w14:paraId="4DD88039" w14:textId="77777777" w:rsidR="006E401B" w:rsidRDefault="006E40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153D22" wp14:editId="59D723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97AEF" w14:textId="77777777" w:rsidR="006E401B" w:rsidRDefault="006E401B"/>
                          <w:p w14:paraId="6E8E0F2B" w14:textId="77777777" w:rsidR="006E401B" w:rsidRDefault="006E40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153D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197AEF" w14:textId="77777777" w:rsidR="006E401B" w:rsidRDefault="006E401B"/>
                    <w:p w14:paraId="6E8E0F2B" w14:textId="77777777" w:rsidR="006E401B" w:rsidRDefault="006E40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BBF5A2" w14:textId="77777777" w:rsidR="006E401B" w:rsidRDefault="006E401B"/>
    <w:p w14:paraId="16CB030C" w14:textId="77777777" w:rsidR="006E401B" w:rsidRDefault="006E401B">
      <w:pPr>
        <w:rPr>
          <w:sz w:val="2"/>
          <w:szCs w:val="2"/>
        </w:rPr>
      </w:pPr>
    </w:p>
    <w:p w14:paraId="0540A9DF" w14:textId="77777777" w:rsidR="006E401B" w:rsidRDefault="006E401B"/>
    <w:p w14:paraId="1CC18091" w14:textId="77777777" w:rsidR="006E401B" w:rsidRDefault="006E401B">
      <w:pPr>
        <w:spacing w:after="0" w:line="240" w:lineRule="auto"/>
      </w:pPr>
    </w:p>
  </w:footnote>
  <w:footnote w:type="continuationSeparator" w:id="0">
    <w:p w14:paraId="6156296D" w14:textId="77777777" w:rsidR="006E401B" w:rsidRDefault="006E4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1B"/>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166305</TotalTime>
  <Pages>2</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5106</cp:revision>
  <cp:lastPrinted>2009-02-06T05:36:00Z</cp:lastPrinted>
  <dcterms:created xsi:type="dcterms:W3CDTF">2024-01-07T13:43:00Z</dcterms:created>
  <dcterms:modified xsi:type="dcterms:W3CDTF">2025-09-16T10:03:00Z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