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EB" w:rsidRPr="00C271EB" w:rsidRDefault="00C271EB" w:rsidP="00C271EB">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C271EB">
        <w:rPr>
          <w:rFonts w:ascii="Arial" w:hAnsi="Arial" w:cs="Arial"/>
          <w:b/>
          <w:bCs/>
          <w:color w:val="000000"/>
          <w:kern w:val="0"/>
          <w:sz w:val="28"/>
          <w:szCs w:val="28"/>
          <w:lang w:eastAsia="ru-RU"/>
        </w:rPr>
        <w:t>Малахова Діана Олегівна</w:t>
      </w:r>
      <w:r w:rsidRPr="00C271EB">
        <w:rPr>
          <w:rFonts w:ascii="Arial" w:hAnsi="Arial" w:cs="Arial"/>
          <w:color w:val="000000"/>
          <w:kern w:val="0"/>
          <w:sz w:val="28"/>
          <w:szCs w:val="28"/>
          <w:lang w:eastAsia="ru-RU"/>
        </w:rPr>
        <w:t xml:space="preserve">, асистент кафедри інформаційних технологій Державного університету «Одеська політехніка», тема дисертації: «Моделі та методи комп’ютерної підтримки рішень в інформаційних системах підготовки вантажних операцій на танкерах», (122 Комп’ютерні науки). Спеціалізована вчена рада ДФ41.052.015 в Державному університеті «Одеська політехніка» (м. Одеса, проспект </w:t>
      </w:r>
    </w:p>
    <w:p w:rsidR="00D333D3" w:rsidRPr="00C271EB" w:rsidRDefault="00D333D3" w:rsidP="00C271EB"/>
    <w:sectPr w:rsidR="00D333D3" w:rsidRPr="00C271E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C271EB" w:rsidRPr="00C271E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AF601-E278-49F6-BAFB-062BD153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2021-11-20T14:40:00Z</dcterms:created>
  <dcterms:modified xsi:type="dcterms:W3CDTF">2021-11-20T15:08:00Z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