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A1" w:rsidRDefault="000F7AA1" w:rsidP="000F7AA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Соловйов Олексій Андрійович, </w:t>
      </w:r>
      <w:r>
        <w:rPr>
          <w:rFonts w:ascii="CIDFont+F4" w:hAnsi="CIDFont+F4" w:cs="CIDFont+F4"/>
          <w:kern w:val="0"/>
          <w:sz w:val="28"/>
          <w:szCs w:val="28"/>
          <w:lang w:eastAsia="ru-RU"/>
        </w:rPr>
        <w:t>аспірант Полтавської державної</w:t>
      </w:r>
    </w:p>
    <w:p w:rsidR="000F7AA1" w:rsidRDefault="000F7AA1" w:rsidP="000F7AA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аграрної академії, тема дисертації: «Менеджмент галузевої</w:t>
      </w:r>
    </w:p>
    <w:p w:rsidR="000F7AA1" w:rsidRDefault="000F7AA1" w:rsidP="000F7AA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конкурентоспроможності на засадах сталого розвитку», (073</w:t>
      </w:r>
    </w:p>
    <w:p w:rsidR="000F7AA1" w:rsidRDefault="000F7AA1" w:rsidP="000F7AA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Менеджмент). Спеціалізована вчена рада ДФ 44.887.009 у Полтавській</w:t>
      </w:r>
    </w:p>
    <w:p w:rsidR="004A5337" w:rsidRPr="000F7AA1" w:rsidRDefault="000F7AA1" w:rsidP="000F7AA1">
      <w:r>
        <w:rPr>
          <w:rFonts w:ascii="CIDFont+F4" w:hAnsi="CIDFont+F4" w:cs="CIDFont+F4"/>
          <w:kern w:val="0"/>
          <w:sz w:val="28"/>
          <w:szCs w:val="28"/>
          <w:lang w:eastAsia="ru-RU"/>
        </w:rPr>
        <w:t>державній аграрній академії</w:t>
      </w:r>
    </w:p>
    <w:sectPr w:rsidR="004A5337" w:rsidRPr="000F7A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0F7AA1" w:rsidRPr="000F7A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F2B1B-0FD0-40A7-9D3E-EBC8E235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2021-11-02T21:23:00Z</dcterms:created>
  <dcterms:modified xsi:type="dcterms:W3CDTF">2021-11-05T11:49:00Z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