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C648" w14:textId="77777777" w:rsidR="007F579A" w:rsidRDefault="007F579A" w:rsidP="007F579A">
      <w:pPr>
        <w:pStyle w:val="afffffffffffffffffffffffffff5"/>
        <w:rPr>
          <w:rFonts w:ascii="Verdana" w:hAnsi="Verdana"/>
          <w:color w:val="000000"/>
          <w:sz w:val="21"/>
          <w:szCs w:val="21"/>
        </w:rPr>
      </w:pPr>
      <w:r>
        <w:rPr>
          <w:rFonts w:ascii="Helvetica" w:hAnsi="Helvetica" w:cs="Helvetica"/>
          <w:b/>
          <w:bCs w:val="0"/>
          <w:color w:val="222222"/>
          <w:sz w:val="21"/>
          <w:szCs w:val="21"/>
        </w:rPr>
        <w:t>Герасимов, Александр Анатольевич.</w:t>
      </w:r>
    </w:p>
    <w:p w14:paraId="3DD198F7" w14:textId="77777777" w:rsidR="007F579A" w:rsidRDefault="007F579A" w:rsidP="007F57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особенностей молекулярной структуры на ориентационное упорядочение в нематической </w:t>
      </w:r>
      <w:proofErr w:type="gramStart"/>
      <w:r>
        <w:rPr>
          <w:rFonts w:ascii="Helvetica" w:hAnsi="Helvetica" w:cs="Helvetica"/>
          <w:caps/>
          <w:color w:val="222222"/>
          <w:sz w:val="21"/>
          <w:szCs w:val="21"/>
        </w:rPr>
        <w:t>мезофазе :</w:t>
      </w:r>
      <w:proofErr w:type="gramEnd"/>
      <w:r>
        <w:rPr>
          <w:rFonts w:ascii="Helvetica" w:hAnsi="Helvetica" w:cs="Helvetica"/>
          <w:caps/>
          <w:color w:val="222222"/>
          <w:sz w:val="21"/>
          <w:szCs w:val="21"/>
        </w:rPr>
        <w:t xml:space="preserve"> диссертация ... кандидата физико-математических наук : 01.04.07. - Харьков, 1984. - 129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CE60948" w14:textId="77777777" w:rsidR="007F579A" w:rsidRDefault="007F579A" w:rsidP="007F579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Герасимов, Александр Анатольевич</w:t>
      </w:r>
    </w:p>
    <w:p w14:paraId="0FFEE8EC"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3A7070"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ЛИТЕРАТУРНЫЙ ОБЗОР</w:t>
      </w:r>
    </w:p>
    <w:p w14:paraId="79F85632"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Мезоморфное состояние вещества: основные понятия; эмпирические закономерности, связывающие строение </w:t>
      </w:r>
      <w:proofErr w:type="spellStart"/>
      <w:r>
        <w:rPr>
          <w:rFonts w:ascii="Arial" w:hAnsi="Arial" w:cs="Arial"/>
          <w:color w:val="333333"/>
          <w:sz w:val="21"/>
          <w:szCs w:val="21"/>
        </w:rPr>
        <w:t>мезогенных</w:t>
      </w:r>
      <w:proofErr w:type="spellEnd"/>
      <w:r>
        <w:rPr>
          <w:rFonts w:ascii="Arial" w:hAnsi="Arial" w:cs="Arial"/>
          <w:color w:val="333333"/>
          <w:sz w:val="21"/>
          <w:szCs w:val="21"/>
        </w:rPr>
        <w:t xml:space="preserve"> молекул и макроскопические свойства мезоморфного состояния; фазовые переходы</w:t>
      </w:r>
    </w:p>
    <w:p w14:paraId="470FB061"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Межмолекулярные взаимодействия, ответственные за образование мезоморфного состояния. Особенности расчета дисперсионного и стерического взаимодействий в системе </w:t>
      </w:r>
      <w:proofErr w:type="spellStart"/>
      <w:r>
        <w:rPr>
          <w:rFonts w:ascii="Arial" w:hAnsi="Arial" w:cs="Arial"/>
          <w:color w:val="333333"/>
          <w:sz w:val="21"/>
          <w:szCs w:val="21"/>
        </w:rPr>
        <w:t>мезогенных</w:t>
      </w:r>
      <w:proofErr w:type="spellEnd"/>
      <w:r>
        <w:rPr>
          <w:rFonts w:ascii="Arial" w:hAnsi="Arial" w:cs="Arial"/>
          <w:color w:val="333333"/>
          <w:sz w:val="21"/>
          <w:szCs w:val="21"/>
        </w:rPr>
        <w:t xml:space="preserve"> молекул. Метод' эффективных парных взаимодействий</w:t>
      </w:r>
    </w:p>
    <w:p w14:paraId="3FEE4896"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Молекулярно-статистическое описание </w:t>
      </w:r>
      <w:proofErr w:type="spellStart"/>
      <w:r>
        <w:rPr>
          <w:rFonts w:ascii="Arial" w:hAnsi="Arial" w:cs="Arial"/>
          <w:color w:val="333333"/>
          <w:sz w:val="21"/>
          <w:szCs w:val="21"/>
        </w:rPr>
        <w:t>нематиче-ской</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мезофазы</w:t>
      </w:r>
      <w:proofErr w:type="spellEnd"/>
    </w:p>
    <w:p w14:paraId="33638A0B"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Метод среднего молекулярного поля</w:t>
      </w:r>
    </w:p>
    <w:p w14:paraId="0CB3A2E3"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1.3.2. Методы учета ближнего порядка в </w:t>
      </w:r>
      <w:proofErr w:type="spellStart"/>
      <w:r>
        <w:rPr>
          <w:rFonts w:ascii="Arial" w:hAnsi="Arial" w:cs="Arial"/>
          <w:color w:val="333333"/>
          <w:sz w:val="21"/>
          <w:szCs w:val="21"/>
        </w:rPr>
        <w:t>молеку</w:t>
      </w:r>
      <w:proofErr w:type="spellEnd"/>
      <w:r>
        <w:rPr>
          <w:rFonts w:ascii="Arial" w:hAnsi="Arial" w:cs="Arial"/>
          <w:color w:val="333333"/>
          <w:sz w:val="21"/>
          <w:szCs w:val="21"/>
        </w:rPr>
        <w:t>-</w:t>
      </w:r>
      <w:proofErr w:type="spellStart"/>
      <w:r>
        <w:rPr>
          <w:rFonts w:ascii="Arial" w:hAnsi="Arial" w:cs="Arial"/>
          <w:color w:val="333333"/>
          <w:sz w:val="21"/>
          <w:szCs w:val="21"/>
        </w:rPr>
        <w:t>лярно</w:t>
      </w:r>
      <w:proofErr w:type="spellEnd"/>
      <w:r>
        <w:rPr>
          <w:rFonts w:ascii="Arial" w:hAnsi="Arial" w:cs="Arial"/>
          <w:color w:val="333333"/>
          <w:sz w:val="21"/>
          <w:szCs w:val="21"/>
        </w:rPr>
        <w:t xml:space="preserve">-статистических моделях </w:t>
      </w:r>
      <w:proofErr w:type="spellStart"/>
      <w:r>
        <w:rPr>
          <w:rFonts w:ascii="Arial" w:hAnsi="Arial" w:cs="Arial"/>
          <w:color w:val="333333"/>
          <w:sz w:val="21"/>
          <w:szCs w:val="21"/>
        </w:rPr>
        <w:t>нематиче-ской</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мезофазы</w:t>
      </w:r>
      <w:proofErr w:type="spellEnd"/>
      <w:r>
        <w:rPr>
          <w:rFonts w:ascii="Arial" w:hAnsi="Arial" w:cs="Arial"/>
          <w:color w:val="333333"/>
          <w:sz w:val="21"/>
          <w:szCs w:val="21"/>
        </w:rPr>
        <w:t>: кластерные модели; метод корреляционных функций.</w:t>
      </w:r>
    </w:p>
    <w:p w14:paraId="627C9E9A"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1.3.3. Учет сил стерического отталкивания в </w:t>
      </w:r>
      <w:proofErr w:type="spellStart"/>
      <w:r>
        <w:rPr>
          <w:rFonts w:ascii="Arial" w:hAnsi="Arial" w:cs="Arial"/>
          <w:color w:val="333333"/>
          <w:sz w:val="21"/>
          <w:szCs w:val="21"/>
        </w:rPr>
        <w:t>мо</w:t>
      </w:r>
      <w:proofErr w:type="spellEnd"/>
      <w:r>
        <w:rPr>
          <w:rFonts w:ascii="Arial" w:hAnsi="Arial" w:cs="Arial"/>
          <w:color w:val="333333"/>
          <w:sz w:val="21"/>
          <w:szCs w:val="21"/>
        </w:rPr>
        <w:t>-</w:t>
      </w:r>
      <w:proofErr w:type="spellStart"/>
      <w:r>
        <w:rPr>
          <w:rFonts w:ascii="Arial" w:hAnsi="Arial" w:cs="Arial"/>
          <w:color w:val="333333"/>
          <w:sz w:val="21"/>
          <w:szCs w:val="21"/>
        </w:rPr>
        <w:t>лекулярно</w:t>
      </w:r>
      <w:proofErr w:type="spellEnd"/>
      <w:r>
        <w:rPr>
          <w:rFonts w:ascii="Arial" w:hAnsi="Arial" w:cs="Arial"/>
          <w:color w:val="333333"/>
          <w:sz w:val="21"/>
          <w:szCs w:val="21"/>
        </w:rPr>
        <w:t xml:space="preserve">-статистической теории </w:t>
      </w:r>
      <w:proofErr w:type="spellStart"/>
      <w:r>
        <w:rPr>
          <w:rFonts w:ascii="Arial" w:hAnsi="Arial" w:cs="Arial"/>
          <w:color w:val="333333"/>
          <w:sz w:val="21"/>
          <w:szCs w:val="21"/>
        </w:rPr>
        <w:t>немати</w:t>
      </w:r>
      <w:proofErr w:type="spellEnd"/>
      <w:r>
        <w:rPr>
          <w:rFonts w:ascii="Arial" w:hAnsi="Arial" w:cs="Arial"/>
          <w:color w:val="333333"/>
          <w:sz w:val="21"/>
          <w:szCs w:val="21"/>
        </w:rPr>
        <w:t xml:space="preserve">-ческой </w:t>
      </w:r>
      <w:proofErr w:type="spellStart"/>
      <w:r>
        <w:rPr>
          <w:rFonts w:ascii="Arial" w:hAnsi="Arial" w:cs="Arial"/>
          <w:color w:val="333333"/>
          <w:sz w:val="21"/>
          <w:szCs w:val="21"/>
        </w:rPr>
        <w:t>мезофазы</w:t>
      </w:r>
      <w:proofErr w:type="spellEnd"/>
      <w:r>
        <w:rPr>
          <w:rFonts w:ascii="Arial" w:hAnsi="Arial" w:cs="Arial"/>
          <w:color w:val="333333"/>
          <w:sz w:val="21"/>
          <w:szCs w:val="21"/>
        </w:rPr>
        <w:t>: метод "твердых стержней" и его модификации; обобщенная теория Ван-дер-Ваальса; метод машинного моделирования.</w:t>
      </w:r>
    </w:p>
    <w:p w14:paraId="61DD665D"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ЭНЕРГИЯ УНИВЕРСАЛЬНЫХ «МОЛЕКУЛЯРНЫХ ВЗАИМОДЕЙСТВИЙ</w:t>
      </w:r>
    </w:p>
    <w:p w14:paraId="05ACF79F"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МЕЗОМОРФНОМ СОСТОЯНИИ.</w:t>
      </w:r>
    </w:p>
    <w:p w14:paraId="57A44F93"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Дисперсионное притяжение </w:t>
      </w:r>
      <w:proofErr w:type="spellStart"/>
      <w:r>
        <w:rPr>
          <w:rFonts w:ascii="Arial" w:hAnsi="Arial" w:cs="Arial"/>
          <w:color w:val="333333"/>
          <w:sz w:val="21"/>
          <w:szCs w:val="21"/>
        </w:rPr>
        <w:t>мезогенных</w:t>
      </w:r>
      <w:proofErr w:type="spellEnd"/>
      <w:r>
        <w:rPr>
          <w:rFonts w:ascii="Arial" w:hAnsi="Arial" w:cs="Arial"/>
          <w:color w:val="333333"/>
          <w:sz w:val="21"/>
          <w:szCs w:val="21"/>
        </w:rPr>
        <w:t xml:space="preserve"> молекул в отсутствие процессов электронного обмена</w:t>
      </w:r>
    </w:p>
    <w:p w14:paraId="558D98D0"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Приближенный расчет универсальных межмолекулярных взаимодействий в </w:t>
      </w:r>
      <w:proofErr w:type="spellStart"/>
      <w:r>
        <w:rPr>
          <w:rFonts w:ascii="Arial" w:hAnsi="Arial" w:cs="Arial"/>
          <w:color w:val="333333"/>
          <w:sz w:val="21"/>
          <w:szCs w:val="21"/>
        </w:rPr>
        <w:t>мезофазе</w:t>
      </w:r>
      <w:proofErr w:type="spellEnd"/>
      <w:r>
        <w:rPr>
          <w:rFonts w:ascii="Arial" w:hAnsi="Arial" w:cs="Arial"/>
          <w:color w:val="333333"/>
          <w:sz w:val="21"/>
          <w:szCs w:val="21"/>
        </w:rPr>
        <w:t xml:space="preserve"> методом эффективных парных взаимодействий</w:t>
      </w:r>
    </w:p>
    <w:p w14:paraId="342C384F"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2.3. Коэффициенты углового разложения </w:t>
      </w:r>
      <w:proofErr w:type="spellStart"/>
      <w:r>
        <w:rPr>
          <w:rFonts w:ascii="Arial" w:hAnsi="Arial" w:cs="Arial"/>
          <w:color w:val="333333"/>
          <w:sz w:val="21"/>
          <w:szCs w:val="21"/>
        </w:rPr>
        <w:t>псевдопотенциала</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мезогенной</w:t>
      </w:r>
      <w:proofErr w:type="spellEnd"/>
      <w:r>
        <w:rPr>
          <w:rFonts w:ascii="Arial" w:hAnsi="Arial" w:cs="Arial"/>
          <w:color w:val="333333"/>
          <w:sz w:val="21"/>
          <w:szCs w:val="21"/>
        </w:rPr>
        <w:t xml:space="preserve"> молекулы в приближении среднего молекулярного поля и их связь с молекулярными параметрами.</w:t>
      </w:r>
    </w:p>
    <w:p w14:paraId="1F78F2E3"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ЭФФЕКТЫ КОНФОРМАЦИОННОЙ ПОДВИЖНОСТИ </w:t>
      </w:r>
      <w:proofErr w:type="gramStart"/>
      <w:r>
        <w:rPr>
          <w:rFonts w:ascii="Arial" w:hAnsi="Arial" w:cs="Arial"/>
          <w:color w:val="333333"/>
          <w:sz w:val="21"/>
          <w:szCs w:val="21"/>
        </w:rPr>
        <w:t>В ТЕОРИЙ</w:t>
      </w:r>
      <w:proofErr w:type="gramEnd"/>
      <w:r>
        <w:rPr>
          <w:rFonts w:ascii="Arial" w:hAnsi="Arial" w:cs="Arial"/>
          <w:color w:val="333333"/>
          <w:sz w:val="21"/>
          <w:szCs w:val="21"/>
        </w:rPr>
        <w:t xml:space="preserve"> МЕЗОМОРФНОГО СОСТОЯНИЯ.</w:t>
      </w:r>
    </w:p>
    <w:p w14:paraId="7E0AAD2D"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Влияние конформационной подвижности </w:t>
      </w:r>
      <w:proofErr w:type="spellStart"/>
      <w:r>
        <w:rPr>
          <w:rFonts w:ascii="Arial" w:hAnsi="Arial" w:cs="Arial"/>
          <w:color w:val="333333"/>
          <w:sz w:val="21"/>
          <w:szCs w:val="21"/>
        </w:rPr>
        <w:t>мезогенных</w:t>
      </w:r>
      <w:proofErr w:type="spellEnd"/>
      <w:r>
        <w:rPr>
          <w:rFonts w:ascii="Arial" w:hAnsi="Arial" w:cs="Arial"/>
          <w:color w:val="333333"/>
          <w:sz w:val="21"/>
          <w:szCs w:val="21"/>
        </w:rPr>
        <w:t xml:space="preserve"> молекул на константу анизотропного межмолекулярного взаимодействия.</w:t>
      </w:r>
    </w:p>
    <w:p w14:paraId="7AA298D2"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Влияние температурной зависимости константы анизотропного межмолекулярного взаимодействия на </w:t>
      </w:r>
      <w:proofErr w:type="spellStart"/>
      <w:r>
        <w:rPr>
          <w:rFonts w:ascii="Arial" w:hAnsi="Arial" w:cs="Arial"/>
          <w:color w:val="333333"/>
          <w:sz w:val="21"/>
          <w:szCs w:val="21"/>
        </w:rPr>
        <w:t>магфоскопические</w:t>
      </w:r>
      <w:proofErr w:type="spellEnd"/>
      <w:r>
        <w:rPr>
          <w:rFonts w:ascii="Arial" w:hAnsi="Arial" w:cs="Arial"/>
          <w:color w:val="333333"/>
          <w:sz w:val="21"/>
          <w:szCs w:val="21"/>
        </w:rPr>
        <w:t xml:space="preserve"> свойства </w:t>
      </w:r>
      <w:proofErr w:type="spellStart"/>
      <w:r>
        <w:rPr>
          <w:rFonts w:ascii="Arial" w:hAnsi="Arial" w:cs="Arial"/>
          <w:color w:val="333333"/>
          <w:sz w:val="21"/>
          <w:szCs w:val="21"/>
        </w:rPr>
        <w:t>мезофазы</w:t>
      </w:r>
      <w:proofErr w:type="spellEnd"/>
    </w:p>
    <w:p w14:paraId="4ACDABB2"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Специфическое стерическое отталкивание, обусловленное конформационной подвижностью конце-</w:t>
      </w:r>
      <w:proofErr w:type="spellStart"/>
      <w:r>
        <w:rPr>
          <w:rFonts w:ascii="Arial" w:hAnsi="Arial" w:cs="Arial"/>
          <w:color w:val="333333"/>
          <w:sz w:val="21"/>
          <w:szCs w:val="21"/>
        </w:rPr>
        <w:t>еых</w:t>
      </w:r>
      <w:proofErr w:type="spellEnd"/>
      <w:r>
        <w:rPr>
          <w:rFonts w:ascii="Arial" w:hAnsi="Arial" w:cs="Arial"/>
          <w:color w:val="333333"/>
          <w:sz w:val="21"/>
          <w:szCs w:val="21"/>
        </w:rPr>
        <w:t xml:space="preserve"> фрагментов </w:t>
      </w:r>
      <w:proofErr w:type="spellStart"/>
      <w:r>
        <w:rPr>
          <w:rFonts w:ascii="Arial" w:hAnsi="Arial" w:cs="Arial"/>
          <w:color w:val="333333"/>
          <w:sz w:val="21"/>
          <w:szCs w:val="21"/>
        </w:rPr>
        <w:t>мезогенных</w:t>
      </w:r>
      <w:proofErr w:type="spellEnd"/>
      <w:r>
        <w:rPr>
          <w:rFonts w:ascii="Arial" w:hAnsi="Arial" w:cs="Arial"/>
          <w:color w:val="333333"/>
          <w:sz w:val="21"/>
          <w:szCs w:val="21"/>
        </w:rPr>
        <w:t xml:space="preserve"> молекул.</w:t>
      </w:r>
    </w:p>
    <w:p w14:paraId="4F40ABCC"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ВЛИЯНИЕ ОСОБЕННОСТЕЙ ЛОКАЛЬНОЙ СИММЕТРИИ И БЛИЖНЕГО ПОРЯДКА НА. МАКРОСКОПИЧЕСКИЕ СВОЙСТВА МЕЗОФАЗЫ</w:t>
      </w:r>
    </w:p>
    <w:p w14:paraId="7F0B8CAB"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w:t>
      </w:r>
      <w:proofErr w:type="spellStart"/>
      <w:r>
        <w:rPr>
          <w:rFonts w:ascii="Arial" w:hAnsi="Arial" w:cs="Arial"/>
          <w:color w:val="333333"/>
          <w:sz w:val="21"/>
          <w:szCs w:val="21"/>
        </w:rPr>
        <w:t>Псевдопотенциал</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мезогенной</w:t>
      </w:r>
      <w:proofErr w:type="spellEnd"/>
      <w:r>
        <w:rPr>
          <w:rFonts w:ascii="Arial" w:hAnsi="Arial" w:cs="Arial"/>
          <w:color w:val="333333"/>
          <w:sz w:val="21"/>
          <w:szCs w:val="21"/>
        </w:rPr>
        <w:t xml:space="preserve"> молекулы с учетом локальной цилиндрической симметрии </w:t>
      </w:r>
      <w:proofErr w:type="spellStart"/>
      <w:r>
        <w:rPr>
          <w:rFonts w:ascii="Arial" w:hAnsi="Arial" w:cs="Arial"/>
          <w:color w:val="333333"/>
          <w:sz w:val="21"/>
          <w:szCs w:val="21"/>
        </w:rPr>
        <w:t>нематической</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мезофазы</w:t>
      </w:r>
      <w:proofErr w:type="spellEnd"/>
      <w:r>
        <w:rPr>
          <w:rFonts w:ascii="Arial" w:hAnsi="Arial" w:cs="Arial"/>
          <w:color w:val="333333"/>
          <w:sz w:val="21"/>
          <w:szCs w:val="21"/>
        </w:rPr>
        <w:t>.</w:t>
      </w:r>
    </w:p>
    <w:p w14:paraId="79207AF9"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Параметры ориентационного порядка в </w:t>
      </w:r>
      <w:proofErr w:type="spellStart"/>
      <w:r>
        <w:rPr>
          <w:rFonts w:ascii="Arial" w:hAnsi="Arial" w:cs="Arial"/>
          <w:color w:val="333333"/>
          <w:sz w:val="21"/>
          <w:szCs w:val="21"/>
        </w:rPr>
        <w:t>нематиче-ской</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мезофазе</w:t>
      </w:r>
      <w:proofErr w:type="spellEnd"/>
      <w:r>
        <w:rPr>
          <w:rFonts w:ascii="Arial" w:hAnsi="Arial" w:cs="Arial"/>
          <w:color w:val="333333"/>
          <w:sz w:val="21"/>
          <w:szCs w:val="21"/>
        </w:rPr>
        <w:t xml:space="preserve">, образованной </w:t>
      </w:r>
      <w:proofErr w:type="spellStart"/>
      <w:r>
        <w:rPr>
          <w:rFonts w:ascii="Arial" w:hAnsi="Arial" w:cs="Arial"/>
          <w:color w:val="333333"/>
          <w:sz w:val="21"/>
          <w:szCs w:val="21"/>
        </w:rPr>
        <w:t>центросимметричными</w:t>
      </w:r>
      <w:proofErr w:type="spellEnd"/>
      <w:r>
        <w:rPr>
          <w:rFonts w:ascii="Arial" w:hAnsi="Arial" w:cs="Arial"/>
          <w:color w:val="333333"/>
          <w:sz w:val="21"/>
          <w:szCs w:val="21"/>
        </w:rPr>
        <w:t xml:space="preserve"> молекулами.</w:t>
      </w:r>
    </w:p>
    <w:p w14:paraId="6E1A9039" w14:textId="77777777" w:rsidR="007F579A" w:rsidRDefault="007F579A" w:rsidP="007F57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Ориентационное упорядочение в </w:t>
      </w:r>
      <w:proofErr w:type="spellStart"/>
      <w:r>
        <w:rPr>
          <w:rFonts w:ascii="Arial" w:hAnsi="Arial" w:cs="Arial"/>
          <w:color w:val="333333"/>
          <w:sz w:val="21"/>
          <w:szCs w:val="21"/>
        </w:rPr>
        <w:t>нематической</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мезофазе</w:t>
      </w:r>
      <w:proofErr w:type="spellEnd"/>
      <w:r>
        <w:rPr>
          <w:rFonts w:ascii="Arial" w:hAnsi="Arial" w:cs="Arial"/>
          <w:color w:val="333333"/>
          <w:sz w:val="21"/>
          <w:szCs w:val="21"/>
        </w:rPr>
        <w:t xml:space="preserve">, образованной </w:t>
      </w:r>
      <w:proofErr w:type="spellStart"/>
      <w:r>
        <w:rPr>
          <w:rFonts w:ascii="Arial" w:hAnsi="Arial" w:cs="Arial"/>
          <w:color w:val="333333"/>
          <w:sz w:val="21"/>
          <w:szCs w:val="21"/>
        </w:rPr>
        <w:t>нецентросимметричными</w:t>
      </w:r>
      <w:proofErr w:type="spellEnd"/>
      <w:r>
        <w:rPr>
          <w:rFonts w:ascii="Arial" w:hAnsi="Arial" w:cs="Arial"/>
          <w:color w:val="333333"/>
          <w:sz w:val="21"/>
          <w:szCs w:val="21"/>
        </w:rPr>
        <w:t xml:space="preserve"> молекулами</w:t>
      </w:r>
    </w:p>
    <w:p w14:paraId="071EBB05" w14:textId="32D8A506" w:rsidR="00E67B85" w:rsidRPr="007F579A" w:rsidRDefault="00E67B85" w:rsidP="007F579A"/>
    <w:sectPr w:rsidR="00E67B85" w:rsidRPr="007F57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DD30" w14:textId="77777777" w:rsidR="00222957" w:rsidRDefault="00222957">
      <w:pPr>
        <w:spacing w:after="0" w:line="240" w:lineRule="auto"/>
      </w:pPr>
      <w:r>
        <w:separator/>
      </w:r>
    </w:p>
  </w:endnote>
  <w:endnote w:type="continuationSeparator" w:id="0">
    <w:p w14:paraId="7FBDFA62" w14:textId="77777777" w:rsidR="00222957" w:rsidRDefault="0022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B0D2" w14:textId="77777777" w:rsidR="00222957" w:rsidRDefault="00222957"/>
    <w:p w14:paraId="4BB53863" w14:textId="77777777" w:rsidR="00222957" w:rsidRDefault="00222957"/>
    <w:p w14:paraId="02410E7A" w14:textId="77777777" w:rsidR="00222957" w:rsidRDefault="00222957"/>
    <w:p w14:paraId="14D51000" w14:textId="77777777" w:rsidR="00222957" w:rsidRDefault="00222957"/>
    <w:p w14:paraId="4CD393E3" w14:textId="77777777" w:rsidR="00222957" w:rsidRDefault="00222957"/>
    <w:p w14:paraId="6BDD4BAC" w14:textId="77777777" w:rsidR="00222957" w:rsidRDefault="00222957"/>
    <w:p w14:paraId="23ACE804" w14:textId="77777777" w:rsidR="00222957" w:rsidRDefault="002229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340D18" wp14:editId="27E735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B6210" w14:textId="77777777" w:rsidR="00222957" w:rsidRDefault="002229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340D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DB6210" w14:textId="77777777" w:rsidR="00222957" w:rsidRDefault="002229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DB5E6" w14:textId="77777777" w:rsidR="00222957" w:rsidRDefault="00222957"/>
    <w:p w14:paraId="2F48073B" w14:textId="77777777" w:rsidR="00222957" w:rsidRDefault="00222957"/>
    <w:p w14:paraId="794A31A1" w14:textId="77777777" w:rsidR="00222957" w:rsidRDefault="002229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ECE11" wp14:editId="436445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C428C" w14:textId="77777777" w:rsidR="00222957" w:rsidRDefault="00222957"/>
                          <w:p w14:paraId="6921E5ED" w14:textId="77777777" w:rsidR="00222957" w:rsidRDefault="002229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ECE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CC428C" w14:textId="77777777" w:rsidR="00222957" w:rsidRDefault="00222957"/>
                    <w:p w14:paraId="6921E5ED" w14:textId="77777777" w:rsidR="00222957" w:rsidRDefault="002229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5EED78" w14:textId="77777777" w:rsidR="00222957" w:rsidRDefault="00222957"/>
    <w:p w14:paraId="0AC8D15D" w14:textId="77777777" w:rsidR="00222957" w:rsidRDefault="00222957">
      <w:pPr>
        <w:rPr>
          <w:sz w:val="2"/>
          <w:szCs w:val="2"/>
        </w:rPr>
      </w:pPr>
    </w:p>
    <w:p w14:paraId="55149C2C" w14:textId="77777777" w:rsidR="00222957" w:rsidRDefault="00222957"/>
    <w:p w14:paraId="12B83774" w14:textId="77777777" w:rsidR="00222957" w:rsidRDefault="00222957">
      <w:pPr>
        <w:spacing w:after="0" w:line="240" w:lineRule="auto"/>
      </w:pPr>
    </w:p>
  </w:footnote>
  <w:footnote w:type="continuationSeparator" w:id="0">
    <w:p w14:paraId="2863F68C" w14:textId="77777777" w:rsidR="00222957" w:rsidRDefault="0022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957"/>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113848</TotalTime>
  <Pages>2</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2082</cp:revision>
  <cp:lastPrinted>2009-02-06T05:36:00Z</cp:lastPrinted>
  <dcterms:created xsi:type="dcterms:W3CDTF">2024-01-07T13:43:00Z</dcterms:created>
  <dcterms:modified xsi:type="dcterms:W3CDTF">2025-06-15T14:42:00Z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