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6516D" w:rsidRDefault="00E6516D" w:rsidP="00E6516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Конституционное право граждан на объединение</w:t>
      </w:r>
    </w:p>
    <w:p w:rsidR="009E2015" w:rsidRDefault="009E2015" w:rsidP="003C1328">
      <w:pPr>
        <w:jc w:val="both"/>
        <w:rPr>
          <w:rFonts w:ascii="Verdana" w:hAnsi="Verdana"/>
          <w:color w:val="FF0000"/>
          <w:sz w:val="18"/>
          <w:szCs w:val="18"/>
        </w:rPr>
      </w:pPr>
    </w:p>
    <w:p w:rsidR="00E6516D" w:rsidRDefault="00E6516D" w:rsidP="003C1328">
      <w:pPr>
        <w:jc w:val="both"/>
        <w:rPr>
          <w:rFonts w:ascii="Verdana" w:hAnsi="Verdana"/>
          <w:color w:val="FF0000"/>
          <w:sz w:val="18"/>
          <w:szCs w:val="18"/>
        </w:rPr>
      </w:pPr>
    </w:p>
    <w:p w:rsidR="00E6516D" w:rsidRDefault="00E6516D" w:rsidP="00E6516D">
      <w:pPr>
        <w:spacing w:line="270" w:lineRule="atLeast"/>
        <w:rPr>
          <w:rFonts w:ascii="Verdana" w:hAnsi="Verdana"/>
          <w:b/>
          <w:bCs/>
          <w:color w:val="000000"/>
          <w:sz w:val="18"/>
          <w:szCs w:val="18"/>
        </w:rPr>
      </w:pPr>
      <w:r>
        <w:rPr>
          <w:rFonts w:ascii="Verdana" w:hAnsi="Verdana"/>
          <w:b/>
          <w:bCs/>
          <w:color w:val="000000"/>
          <w:sz w:val="18"/>
          <w:szCs w:val="18"/>
        </w:rPr>
        <w:t>Год: </w:t>
      </w:r>
    </w:p>
    <w:p w:rsidR="00E6516D" w:rsidRDefault="00E6516D" w:rsidP="00E6516D">
      <w:pPr>
        <w:spacing w:line="270" w:lineRule="atLeast"/>
        <w:rPr>
          <w:rFonts w:ascii="Verdana" w:hAnsi="Verdana"/>
          <w:color w:val="000000"/>
          <w:sz w:val="18"/>
          <w:szCs w:val="18"/>
        </w:rPr>
      </w:pPr>
      <w:r>
        <w:rPr>
          <w:rFonts w:ascii="Verdana" w:hAnsi="Verdana"/>
          <w:color w:val="000000"/>
          <w:sz w:val="18"/>
          <w:szCs w:val="18"/>
        </w:rPr>
        <w:t>2011</w:t>
      </w:r>
    </w:p>
    <w:p w:rsidR="00E6516D" w:rsidRDefault="00E6516D" w:rsidP="00E6516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6516D" w:rsidRDefault="00E6516D" w:rsidP="00E6516D">
      <w:pPr>
        <w:spacing w:line="270" w:lineRule="atLeast"/>
        <w:rPr>
          <w:rFonts w:ascii="Verdana" w:hAnsi="Verdana"/>
          <w:color w:val="000000"/>
          <w:sz w:val="18"/>
          <w:szCs w:val="18"/>
        </w:rPr>
      </w:pPr>
      <w:r>
        <w:rPr>
          <w:rFonts w:ascii="Verdana" w:hAnsi="Verdana"/>
          <w:color w:val="000000"/>
          <w:sz w:val="18"/>
          <w:szCs w:val="18"/>
        </w:rPr>
        <w:t>Любутов, Николай Андреевич</w:t>
      </w:r>
    </w:p>
    <w:p w:rsidR="00E6516D" w:rsidRDefault="00E6516D" w:rsidP="00E6516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6516D" w:rsidRDefault="00E6516D" w:rsidP="00E6516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6516D" w:rsidRDefault="00E6516D" w:rsidP="00E6516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6516D" w:rsidRDefault="00E6516D" w:rsidP="00E6516D">
      <w:pPr>
        <w:spacing w:line="270" w:lineRule="atLeast"/>
        <w:rPr>
          <w:rFonts w:ascii="Verdana" w:hAnsi="Verdana"/>
          <w:color w:val="000000"/>
          <w:sz w:val="18"/>
          <w:szCs w:val="18"/>
        </w:rPr>
      </w:pPr>
      <w:r>
        <w:rPr>
          <w:rFonts w:ascii="Verdana" w:hAnsi="Verdana"/>
          <w:color w:val="000000"/>
          <w:sz w:val="18"/>
          <w:szCs w:val="18"/>
        </w:rPr>
        <w:t>Москва</w:t>
      </w:r>
    </w:p>
    <w:p w:rsidR="00E6516D" w:rsidRDefault="00E6516D" w:rsidP="00E6516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6516D" w:rsidRDefault="00E6516D" w:rsidP="00E6516D">
      <w:pPr>
        <w:spacing w:line="270" w:lineRule="atLeast"/>
        <w:rPr>
          <w:rFonts w:ascii="Verdana" w:hAnsi="Verdana"/>
          <w:color w:val="000000"/>
          <w:sz w:val="18"/>
          <w:szCs w:val="18"/>
        </w:rPr>
      </w:pPr>
      <w:r>
        <w:rPr>
          <w:rFonts w:ascii="Verdana" w:hAnsi="Verdana"/>
          <w:color w:val="000000"/>
          <w:sz w:val="18"/>
          <w:szCs w:val="18"/>
        </w:rPr>
        <w:t>12.00.02</w:t>
      </w:r>
    </w:p>
    <w:p w:rsidR="00E6516D" w:rsidRDefault="00E6516D" w:rsidP="00E6516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6516D" w:rsidRDefault="00E6516D" w:rsidP="00E6516D">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E6516D" w:rsidRDefault="00E6516D" w:rsidP="00E6516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6516D" w:rsidRDefault="00E6516D" w:rsidP="00E6516D">
      <w:pPr>
        <w:spacing w:line="270" w:lineRule="atLeast"/>
        <w:rPr>
          <w:rFonts w:ascii="Verdana" w:hAnsi="Verdana"/>
          <w:color w:val="000000"/>
          <w:sz w:val="18"/>
          <w:szCs w:val="18"/>
        </w:rPr>
      </w:pPr>
      <w:r>
        <w:rPr>
          <w:rFonts w:ascii="Verdana" w:hAnsi="Verdana"/>
          <w:color w:val="000000"/>
          <w:sz w:val="18"/>
          <w:szCs w:val="18"/>
        </w:rPr>
        <w:t>244</w:t>
      </w:r>
    </w:p>
    <w:p w:rsidR="00E6516D" w:rsidRDefault="00E6516D" w:rsidP="00E6516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Любутов, Николай Андреевич</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Правовая природа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объединение.</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Возникновение и развитие права на</w:t>
      </w:r>
      <w:r>
        <w:rPr>
          <w:rStyle w:val="WW8Num3z0"/>
          <w:rFonts w:ascii="Verdana" w:hAnsi="Verdana"/>
          <w:color w:val="000000"/>
          <w:sz w:val="18"/>
          <w:szCs w:val="18"/>
        </w:rPr>
        <w:t> </w:t>
      </w:r>
      <w:r>
        <w:rPr>
          <w:rStyle w:val="WW8Num4z0"/>
          <w:rFonts w:ascii="Verdana" w:hAnsi="Verdana"/>
          <w:color w:val="4682B4"/>
          <w:sz w:val="18"/>
          <w:szCs w:val="18"/>
        </w:rPr>
        <w:t>объединение</w:t>
      </w:r>
      <w:r>
        <w:rPr>
          <w:rFonts w:ascii="Verdana" w:hAnsi="Verdana"/>
          <w:color w:val="000000"/>
          <w:sz w:val="18"/>
          <w:szCs w:val="18"/>
        </w:rPr>
        <w:t>.</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конституционного права на объединение.</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Юридические особенности права на объединение.</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Пределы допустимого ограничения и</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реализации конституционного права на объединение.</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Формы реализации конституционного права на объединение.</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форм реализации права на объединение.</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Общественные и религиозные объединения.</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Некоммерческие организации.</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Коммерческие организации.</w:t>
      </w:r>
    </w:p>
    <w:p w:rsidR="00E6516D" w:rsidRDefault="00E6516D" w:rsidP="00E6516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Проблема правового статуса государственно-общественных и общественно-государственных объединений.</w:t>
      </w:r>
    </w:p>
    <w:p w:rsidR="00E6516D" w:rsidRDefault="00E6516D" w:rsidP="00E6516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граждан на объединение"</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Права человека обоснованно рассматриваются как фундамент и краеугольный камень</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Продолжая эту мысль, можно утверждать, что права человека как юридический феномен наполняют смыслом само конституционно-правовое регулирование общественных отношений. Особенно важной категорией</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для демократического правового государства являются права, обеспечивающие</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легитимную возможность принимать участие в публично-политической жизни своего государства. Одним их таких правяв-ляется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на объединение.</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объединение обеспечивает гражданам юридическую</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по совместной защите их прав и интересов, наполняет смыслом существование других конституционных прав (например,</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собраний, свободы слова и др.), которые без права на объединение оставались бы лишь декларативными.</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ст.ЗО Конституции РФ право на объединение распространяет свое действие на возможность учреждения негосударственных объединений и вступления или выхода из уже существующих. Вместе с тем, формулировка ст.ЗО не позволяет прийти к однозначному выводу о том, что понимается под словом «</w:t>
      </w:r>
      <w:r>
        <w:rPr>
          <w:rStyle w:val="WW8Num4z0"/>
          <w:rFonts w:ascii="Verdana" w:hAnsi="Verdana"/>
          <w:color w:val="4682B4"/>
          <w:sz w:val="18"/>
          <w:szCs w:val="18"/>
        </w:rPr>
        <w:t>объединение</w:t>
      </w:r>
      <w:r>
        <w:rPr>
          <w:rFonts w:ascii="Verdana" w:hAnsi="Verdana"/>
          <w:color w:val="000000"/>
          <w:sz w:val="18"/>
          <w:szCs w:val="18"/>
        </w:rPr>
        <w:t>» в тексте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РФ, а также какие именно объединения следует рассматривать как институциональный результат реализации этого права. По </w:t>
      </w:r>
      <w:r>
        <w:rPr>
          <w:rFonts w:ascii="Verdana" w:hAnsi="Verdana"/>
          <w:color w:val="000000"/>
          <w:sz w:val="18"/>
          <w:szCs w:val="18"/>
        </w:rPr>
        <w:lastRenderedPageBreak/>
        <w:t>этой причине представляется особенно актуальным в современных условиях осуществить правовой анализ данного понятия, выявить признаки негосударственного объединения; следующие из смысла ст.ЗО Конституции РФ, определить перечень коллективных образований, соответствующих этим признакам.</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Актуальной проблемой является правовой статус такого малоизученного в отечественной науке на современном этапе института, как «государственно-общественные (общественно-государственные) объединения», существование которых предусмотрено ст.51 Федерального закона от 19 мая Л 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Актуальным является также рассмотрение вопроса о пределах ограничения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объединение, что особенно важно на современном этапе развития Российской Федерации в связи с наметившейся тенденцией по выработке оптимальных рамок ограничения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условиях специальных правовых режимов (чрезвычайного и военного положения, режима-контртеррористической операции), а также в ситуации нормального функционирования государства.</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разработанности^темы: На сегодняшний' день степень научной разработанности темы диссертации следует охарактеризовать как недостаточно высокую. Несмотря5 на довольно большое количество работ, посвященных вопросам деятельности общественных объединений в целом, их организационно-правовых форм и разновидностей, в отечественной правовой литературе отсутствуют работы, посвященные комплексному исследованию правовой природы конституционного' права на объединение в его увязке с системой объединений, создаваемых в процессе реализации этого права. Среди работ, в которых рассматриваются отдельные аспекты дан</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2 ного вопроса, следует назвать работы A.A. Алиева , Д.А.</w:t>
      </w:r>
      <w:r>
        <w:rPr>
          <w:rStyle w:val="WW8Num3z0"/>
          <w:rFonts w:ascii="Verdana" w:hAnsi="Verdana"/>
          <w:color w:val="000000"/>
          <w:sz w:val="18"/>
          <w:szCs w:val="18"/>
        </w:rPr>
        <w:t> </w:t>
      </w:r>
      <w:r>
        <w:rPr>
          <w:rStyle w:val="WW8Num4z0"/>
          <w:rFonts w:ascii="Verdana" w:hAnsi="Verdana"/>
          <w:color w:val="4682B4"/>
          <w:sz w:val="18"/>
          <w:szCs w:val="18"/>
        </w:rPr>
        <w:t>Алимова</w:t>
      </w:r>
      <w:r>
        <w:rPr>
          <w:rStyle w:val="WW8Num3z0"/>
          <w:rFonts w:ascii="Verdana" w:hAnsi="Verdana"/>
          <w:color w:val="000000"/>
          <w:sz w:val="18"/>
          <w:szCs w:val="18"/>
        </w:rPr>
        <w:t> </w:t>
      </w:r>
      <w:r>
        <w:rPr>
          <w:rFonts w:ascii="Verdana" w:hAnsi="Verdana"/>
          <w:color w:val="000000"/>
          <w:sz w:val="18"/>
          <w:szCs w:val="18"/>
        </w:rPr>
        <w:t>, В.В. Лысенко3, A.B.</w:t>
      </w:r>
      <w:r>
        <w:rPr>
          <w:rStyle w:val="WW8Num3z0"/>
          <w:rFonts w:ascii="Verdana" w:hAnsi="Verdana"/>
          <w:color w:val="000000"/>
          <w:sz w:val="18"/>
          <w:szCs w:val="18"/>
        </w:rPr>
        <w:t> </w:t>
      </w:r>
      <w:r>
        <w:rPr>
          <w:rStyle w:val="WW8Num4z0"/>
          <w:rFonts w:ascii="Verdana" w:hAnsi="Verdana"/>
          <w:color w:val="4682B4"/>
          <w:sz w:val="18"/>
          <w:szCs w:val="18"/>
        </w:rPr>
        <w:t>Маркитантова</w:t>
      </w:r>
      <w:r>
        <w:rPr>
          <w:rFonts w:ascii="Verdana" w:hAnsi="Verdana"/>
          <w:color w:val="000000"/>
          <w:sz w:val="18"/>
          <w:szCs w:val="18"/>
        </w:rPr>
        <w:t>4, Д.Е. Мерешкина5, В.Н. Пронькина6, В.В2 Солдатова7.</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Алиев, Л. Л. Конституционное право на объединение в системе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Учебное пособие для вузов. - М.: ЮНИТИ-ДАНА, 2000.</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Алимов, Д. А. Конституционное право на объединение: механизм обеспечения и пределы ограничения. - Дис. к.ю.н.</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Ростов-на-Дону: Ростовский юридический институт Министерства внутренних дел Российской Федерации, 2001.</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Лысенко, В. В. Общественные объединения как форма реализации конституционного права на объединение в Российской Федерации. -Дис. к.ю.н. -М: Московский государственный университет им. М. 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2001.</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Маркитантов, А. В. Негосударственные объединения в Российской Федерации: теория и практика конституционно-правового регулирования. - Дис. к.ю.н. - Екатеринбург: Уральская государственная юридическая академия, 2002.</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Мерешкин, Д. Е. Конституционно-правовой статус общественных объединений в современной России. - Дис. к.ю.н.</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СПб: Северо-западная Академия государственной службы, 2006.</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Пронькин, В. 11.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ассоциаций //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- 1993. 5.</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Солдатов, В. В. Защита конституционных прав юридических лиц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-Дис. к.ю.н. - Челябинск: Челябинский государственный университет, 2007.</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отечественной правовой литературе практически отсутствуют комплексные исследования, посвященные вопросу ограничения конституционного права на объединение. Непосредственно этот вопрос рассматривался1: только в работе Д.А. Малого'. Также вопрос ограничения конституционного права на объединение частично затрагивался в работе В;А. Коннова в рамках общего анализа ограничения политических прав граждан.</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общественные отношения;, возникающие в связи с. правовым«регулированием ишракти-кой.реализации конституционного права на объединение. ;, .</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исследования;. Предметом' работы- является исследование: правовых актов Российской Федерации в сфере регулирования конституционного права- на объединение и статуса негосударственных объединений на современном этапе с привлечением правовых актов досоветского и советского периодов; а также исследование норм зарубежного законодательства, изучение российской; и зарубежной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научной литературы в области.реализации права на объединение.</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Щелью исследования является выявление правовой. природы конституционного права на объединение; и- механизма- его реализаций; .определение юридических особенностей права на;объединение, среди, иных конституционных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 также установление правовых оснований и рамок ограничения конституционного права на объединение.</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Для достижения поставленной цели необходи-мо-было решитьследующие основные задачи:</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суть,</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Конституции РФ? понятия «объеди-пение»;</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Малый, Д. Л. Конституционное право на объединение в Российской Федерации: вопросы теории и практики.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Коннов, В. Л. Правовые основы ограничения политических прав и свобод граждан по зарубежному и российскому законодательству. -М.: Издательство Московского университета Министерства внутренних дел, 2003.</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признаки негосударственных объединений;</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место конституционного права на объединение в системе конституционных прав и свобод граждан, установить его соотношение с другими основными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систему негосударственных объединений, соответствующих смыслу ст.ЗО Конституции РФ;</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перечень институтов, ошибочно причисляемых к негосударственным объединениям;</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степень</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правовых оснований и пределов ограничения конституционного права на объединение в^ обычных условиях и в условиях специальных правовых режимов (чрезвычайного и военного- положения, а также режима контртеррористической операции).</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 При подготовке исследования автором использовались такие общенаучные методы познания, как формально-логический, дедуктивный, индуктивный, аналитический, диалектический, системно-структурный, метод традукции (аналогии), синтеза, а также специальные методы научного познания: историко-правовой, сравнительно-правовой, системный и иные.</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научные труды отечественных и зарубежных авторов в сфере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И' иных отраслей права, теории государства и права.</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историко-правового обзора темы диссертации автор использовал труды отечественных исследователей досоветского этапа развития</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Н.М. Коркунова, С.А. Котляревского, Д.И.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Г. Новоторжского, К.П. Победоносцева, JI.M.</w:t>
      </w:r>
      <w:r>
        <w:rPr>
          <w:rStyle w:val="WW8Num3z0"/>
          <w:rFonts w:ascii="Verdana" w:hAnsi="Verdana"/>
          <w:color w:val="000000"/>
          <w:sz w:val="18"/>
          <w:szCs w:val="18"/>
        </w:rPr>
        <w:t> </w:t>
      </w:r>
      <w:r>
        <w:rPr>
          <w:rStyle w:val="WW8Num4z0"/>
          <w:rFonts w:ascii="Verdana" w:hAnsi="Verdana"/>
          <w:color w:val="4682B4"/>
          <w:sz w:val="18"/>
          <w:szCs w:val="18"/>
        </w:rPr>
        <w:t>Роговина</w:t>
      </w:r>
      <w:r>
        <w:rPr>
          <w:rFonts w:ascii="Verdana" w:hAnsi="Verdana"/>
          <w:color w:val="000000"/>
          <w:sz w:val="18"/>
          <w:szCs w:val="18"/>
        </w:rPr>
        <w:t>, Н.С. Суворова, И.Т. Тарасова, Б.Н.</w:t>
      </w:r>
      <w:r>
        <w:rPr>
          <w:rStyle w:val="WW8Num3z0"/>
          <w:rFonts w:ascii="Verdana" w:hAnsi="Verdana"/>
          <w:color w:val="000000"/>
          <w:sz w:val="18"/>
          <w:szCs w:val="18"/>
        </w:rPr>
        <w:t> </w:t>
      </w:r>
      <w:r>
        <w:rPr>
          <w:rStyle w:val="WW8Num4z0"/>
          <w:rFonts w:ascii="Verdana" w:hAnsi="Verdana"/>
          <w:color w:val="4682B4"/>
          <w:sz w:val="18"/>
          <w:szCs w:val="18"/>
        </w:rPr>
        <w:t>Чичерина</w:t>
      </w:r>
      <w:r>
        <w:rPr>
          <w:rStyle w:val="WW8Num3z0"/>
          <w:rFonts w:ascii="Verdana" w:hAnsi="Verdana"/>
          <w:color w:val="000000"/>
          <w:sz w:val="18"/>
          <w:szCs w:val="18"/>
        </w:rPr>
        <w:t> </w:t>
      </w:r>
      <w:r>
        <w:rPr>
          <w:rFonts w:ascii="Verdana" w:hAnsi="Verdana"/>
          <w:color w:val="000000"/>
          <w:sz w:val="18"/>
          <w:szCs w:val="18"/>
        </w:rPr>
        <w:t>и др. Теоретической основой изучения советского и современного этапов регулирования отношений в сфере реализации права на объединение явились работы: Е.А.</w:t>
      </w:r>
      <w:r>
        <w:rPr>
          <w:rStyle w:val="WW8Num3z0"/>
          <w:rFonts w:ascii="Verdana" w:hAnsi="Verdana"/>
          <w:color w:val="000000"/>
          <w:sz w:val="18"/>
          <w:szCs w:val="18"/>
        </w:rPr>
        <w:t> </w:t>
      </w:r>
      <w:r>
        <w:rPr>
          <w:rStyle w:val="WW8Num4z0"/>
          <w:rFonts w:ascii="Verdana" w:hAnsi="Verdana"/>
          <w:color w:val="4682B4"/>
          <w:sz w:val="18"/>
          <w:szCs w:val="18"/>
        </w:rPr>
        <w:t>Абросимовой</w:t>
      </w:r>
      <w:r>
        <w:rPr>
          <w:rFonts w:ascii="Verdana" w:hAnsi="Verdana"/>
          <w:color w:val="000000"/>
          <w:sz w:val="18"/>
          <w:szCs w:val="18"/>
        </w:rPr>
        <w:t>, С.А. Авакьяна,</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A.C.</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С.С. Алексеева, Е.С. Алисиевич, Д.А.</w:t>
      </w:r>
      <w:r>
        <w:rPr>
          <w:rStyle w:val="WW8Num3z0"/>
          <w:rFonts w:ascii="Verdana" w:hAnsi="Verdana"/>
          <w:color w:val="000000"/>
          <w:sz w:val="18"/>
          <w:szCs w:val="18"/>
        </w:rPr>
        <w:t> </w:t>
      </w:r>
      <w:r>
        <w:rPr>
          <w:rStyle w:val="WW8Num4z0"/>
          <w:rFonts w:ascii="Verdana" w:hAnsi="Verdana"/>
          <w:color w:val="4682B4"/>
          <w:sz w:val="18"/>
          <w:szCs w:val="18"/>
        </w:rPr>
        <w:t>Алимова</w:t>
      </w:r>
      <w:r>
        <w:rPr>
          <w:rFonts w:ascii="Verdana" w:hAnsi="Verdana"/>
          <w:color w:val="000000"/>
          <w:sz w:val="18"/>
          <w:szCs w:val="18"/>
        </w:rPr>
        <w:t>,</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Н.Ю.</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Н.С. Бондаря, М.И. Брагинского,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Г.А. Гаджиева, В.А. Горбунова, В.П.</w:t>
      </w:r>
      <w:r>
        <w:rPr>
          <w:rStyle w:val="WW8Num3z0"/>
          <w:rFonts w:ascii="Verdana" w:hAnsi="Verdana"/>
          <w:color w:val="000000"/>
          <w:sz w:val="18"/>
          <w:szCs w:val="18"/>
        </w:rPr>
        <w:t> </w:t>
      </w:r>
      <w:r>
        <w:rPr>
          <w:rStyle w:val="WW8Num4z0"/>
          <w:rFonts w:ascii="Verdana" w:hAnsi="Verdana"/>
          <w:color w:val="4682B4"/>
          <w:sz w:val="18"/>
          <w:szCs w:val="18"/>
        </w:rPr>
        <w:t>Грибанова</w:t>
      </w:r>
      <w:r>
        <w:rPr>
          <w:rFonts w:ascii="Verdana" w:hAnsi="Verdana"/>
          <w:color w:val="000000"/>
          <w:sz w:val="18"/>
          <w:szCs w:val="18"/>
        </w:rPr>
        <w:t>, И.Н. Ильиной, В.Б. Исакова,</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Ковлера</w:t>
      </w:r>
      <w:r>
        <w:rPr>
          <w:rFonts w:ascii="Verdana" w:hAnsi="Verdana"/>
          <w:color w:val="000000"/>
          <w:sz w:val="18"/>
          <w:szCs w:val="18"/>
        </w:rPr>
        <w:t>, Н.В. Козловой, Е.И. Колюшина, М.А.</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O.E. Кутафина, В. В.</w:t>
      </w:r>
      <w:r>
        <w:rPr>
          <w:rStyle w:val="WW8Num3z0"/>
          <w:rFonts w:ascii="Verdana" w:hAnsi="Verdana"/>
          <w:color w:val="000000"/>
          <w:sz w:val="18"/>
          <w:szCs w:val="18"/>
        </w:rPr>
        <w:t> </w:t>
      </w:r>
      <w:r>
        <w:rPr>
          <w:rStyle w:val="WW8Num4z0"/>
          <w:rFonts w:ascii="Verdana" w:hAnsi="Verdana"/>
          <w:color w:val="4682B4"/>
          <w:sz w:val="18"/>
          <w:szCs w:val="18"/>
        </w:rPr>
        <w:t>Лапаевой</w:t>
      </w:r>
      <w:r>
        <w:rPr>
          <w:rFonts w:ascii="Verdana" w:hAnsi="Verdana"/>
          <w:color w:val="000000"/>
          <w:sz w:val="18"/>
          <w:szCs w:val="18"/>
        </w:rPr>
        <w:t>, В.И. Лафитского, Е.А. Лукашевой,</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В.В. Лысенко, В.Д. Мазаева, Д.А. Малого,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A.B. Маркитантова, М.Н. Марченко, Д.Е.</w:t>
      </w:r>
      <w:r>
        <w:rPr>
          <w:rStyle w:val="WW8Num3z0"/>
          <w:rFonts w:ascii="Verdana" w:hAnsi="Verdana"/>
          <w:color w:val="000000"/>
          <w:sz w:val="18"/>
          <w:szCs w:val="18"/>
        </w:rPr>
        <w:t> </w:t>
      </w:r>
      <w:r>
        <w:rPr>
          <w:rStyle w:val="WW8Num4z0"/>
          <w:rFonts w:ascii="Verdana" w:hAnsi="Verdana"/>
          <w:color w:val="4682B4"/>
          <w:sz w:val="18"/>
          <w:szCs w:val="18"/>
        </w:rPr>
        <w:t>Мерешкина</w:t>
      </w:r>
      <w:r>
        <w:rPr>
          <w:rFonts w:ascii="Verdana" w:hAnsi="Verdana"/>
          <w:color w:val="000000"/>
          <w:sz w:val="18"/>
          <w:szCs w:val="18"/>
        </w:rPr>
        <w:t>, C.B. Михайлова, A.A. Мишина, М.А.</w:t>
      </w:r>
      <w:r>
        <w:rPr>
          <w:rStyle w:val="WW8Num3z0"/>
          <w:rFonts w:ascii="Verdana" w:hAnsi="Verdana"/>
          <w:color w:val="000000"/>
          <w:sz w:val="18"/>
          <w:szCs w:val="18"/>
        </w:rPr>
        <w:t> </w:t>
      </w:r>
      <w:r>
        <w:rPr>
          <w:rStyle w:val="WW8Num4z0"/>
          <w:rFonts w:ascii="Verdana" w:hAnsi="Verdana"/>
          <w:color w:val="4682B4"/>
          <w:sz w:val="18"/>
          <w:szCs w:val="18"/>
        </w:rPr>
        <w:t>Пимановой</w:t>
      </w:r>
      <w:r>
        <w:rPr>
          <w:rFonts w:ascii="Verdana" w:hAnsi="Verdana"/>
          <w:color w:val="000000"/>
          <w:sz w:val="18"/>
          <w:szCs w:val="18"/>
        </w:rPr>
        <w:t xml:space="preserve">, В.Н. Пронькина, С.А. </w:t>
      </w:r>
      <w:r>
        <w:rPr>
          <w:rFonts w:ascii="Verdana" w:hAnsi="Verdana"/>
          <w:color w:val="000000"/>
          <w:sz w:val="18"/>
          <w:szCs w:val="18"/>
        </w:rPr>
        <w:lastRenderedPageBreak/>
        <w:t>Солдатова,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Ю.А. Тихомирова, A.C. Тумановой,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А.И. Щиг-лика, Д.В. Шутько,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Ц.А. Ямполъской и др.</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труды зарубежных исследователей различных этапов развития юриспруденции: Л. Алекзандера, Н. Бобчука, Дж. Бэррона, Р. Клэйтона, С.С.</w:t>
      </w:r>
      <w:r>
        <w:rPr>
          <w:rStyle w:val="WW8Num3z0"/>
          <w:rFonts w:ascii="Verdana" w:hAnsi="Verdana"/>
          <w:color w:val="000000"/>
          <w:sz w:val="18"/>
          <w:szCs w:val="18"/>
        </w:rPr>
        <w:t> </w:t>
      </w:r>
      <w:r>
        <w:rPr>
          <w:rStyle w:val="WW8Num4z0"/>
          <w:rFonts w:ascii="Verdana" w:hAnsi="Verdana"/>
          <w:color w:val="4682B4"/>
          <w:sz w:val="18"/>
          <w:szCs w:val="18"/>
        </w:rPr>
        <w:t>Кеннеди</w:t>
      </w:r>
      <w:r>
        <w:rPr>
          <w:rFonts w:ascii="Verdana" w:hAnsi="Verdana"/>
          <w:color w:val="000000"/>
          <w:sz w:val="18"/>
          <w:szCs w:val="18"/>
        </w:rPr>
        <w:t>, Дж. Лемана, Д.С. Милля, Дж. Новака, Б. О'Каллагана, В. Орландо, И.</w:t>
      </w:r>
      <w:r>
        <w:rPr>
          <w:rStyle w:val="WW8Num3z0"/>
          <w:rFonts w:ascii="Verdana" w:hAnsi="Verdana"/>
          <w:color w:val="000000"/>
          <w:sz w:val="18"/>
          <w:szCs w:val="18"/>
        </w:rPr>
        <w:t> </w:t>
      </w:r>
      <w:r>
        <w:rPr>
          <w:rStyle w:val="WW8Num4z0"/>
          <w:rFonts w:ascii="Verdana" w:hAnsi="Verdana"/>
          <w:color w:val="4682B4"/>
          <w:sz w:val="18"/>
          <w:szCs w:val="18"/>
        </w:rPr>
        <w:t>Пухан</w:t>
      </w:r>
      <w:r>
        <w:rPr>
          <w:rFonts w:ascii="Verdana" w:hAnsi="Verdana"/>
          <w:color w:val="000000"/>
          <w:sz w:val="18"/>
          <w:szCs w:val="18"/>
        </w:rPr>
        <w:t>, М. Де Сальвиа, Г.Б. Стиллмана, Ф.Г.</w:t>
      </w:r>
      <w:r>
        <w:rPr>
          <w:rStyle w:val="WW8Num3z0"/>
          <w:rFonts w:ascii="Verdana" w:hAnsi="Verdana"/>
          <w:color w:val="000000"/>
          <w:sz w:val="18"/>
          <w:szCs w:val="18"/>
        </w:rPr>
        <w:t> </w:t>
      </w:r>
      <w:r>
        <w:rPr>
          <w:rStyle w:val="WW8Num4z0"/>
          <w:rFonts w:ascii="Verdana" w:hAnsi="Verdana"/>
          <w:color w:val="4682B4"/>
          <w:sz w:val="18"/>
          <w:szCs w:val="18"/>
        </w:rPr>
        <w:t>Тернера</w:t>
      </w:r>
      <w:r>
        <w:rPr>
          <w:rFonts w:ascii="Verdana" w:hAnsi="Verdana"/>
          <w:color w:val="000000"/>
          <w:sz w:val="18"/>
          <w:szCs w:val="18"/>
        </w:rPr>
        <w:t>, С. Трипати, А. Шайо, Р. Штобера и др.</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Впервые в отечественной юриспруденции в работе осуществлен комплексный анализ правовой природы конституционного права на объединение во взаимосвязи с институциональными результатами реализации этого права в виде совокупности негосударственных объединений, на основе системного анализа ст.ЗО Конституции РФ выведены признаки негосударственного объединения. Осуществлена систематизация организационно-правовых форм негосударственных объединений, выявлены конституционно-правовые пределы ограничения права на объединение.</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научные положения:</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Проведенное исследование доказало, что из содержания конституционного права на объединение, закрепленного в ст.ЗО Конституции РФ; можно вывести следующие признаки негосударственных объединений: 1) добровольность</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лица при создании нового, вступлении или выходе из существующего объединения; 2) наличие у учредителей, членов или участников объединения общих целей и интересов, реализуемых посредством конституционного права на объединение; 3) личный характер участия членов (участников) в деятельности объединения; 4) негосударственный характер объединения; 5) организационное единство; 6)</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создания и деятельности объединения.</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проведенном исследовании обосновано, что к негосударственным объединениям следует относить объединения, фактически соответствующие вышеуказанным признакам объединений, выводимым из ст.ЗО Конституции РФ, даже если они не соответствуют некоторым* формальным требованиям, предъявляемым нормами, текущего российского законодательства к отдельным организационно-правовым формам объединений. К таким объединениям могут быть отнесены некоторые Интернет-сообщества, некоторые так называемые «</w:t>
      </w:r>
      <w:r>
        <w:rPr>
          <w:rStyle w:val="WW8Num4z0"/>
          <w:rFonts w:ascii="Verdana" w:hAnsi="Verdana"/>
          <w:color w:val="4682B4"/>
          <w:sz w:val="18"/>
          <w:szCs w:val="18"/>
        </w:rPr>
        <w:t>неформальные объединения</w:t>
      </w:r>
      <w:r>
        <w:rPr>
          <w:rFonts w:ascii="Verdana" w:hAnsi="Verdana"/>
          <w:color w:val="000000"/>
          <w:sz w:val="18"/>
          <w:szCs w:val="18"/>
        </w:rPr>
        <w:t>» и иные объединения, добровольно создаваемые для совместной реализации определенных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целей и интересов. При возникновении спорной правовой ситуации: является ли объединение институциональным.результатом реализации ст.ЗО Конституции РФ - данный вопрос должен решаться судом.</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диссертации обосновано, что</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правоспособность негосударственных объединений возникает с момента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этим объединением организационных действий, свидетельствующих о начале совместной деятельности (утверждении</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формировании органов управления и т.п.). Государственная регистрация свидетельствует о приобретении объединением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Fonts w:ascii="Verdana" w:hAnsi="Verdana"/>
          <w:color w:val="000000"/>
          <w:sz w:val="18"/>
          <w:szCs w:val="18"/>
        </w:rPr>
        <w:t>, но ее отсутствие не означает отсутствия у объединения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правоспособности.</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Проведенное исследование показало, что понятия «</w:t>
      </w:r>
      <w:r>
        <w:rPr>
          <w:rStyle w:val="WW8Num4z0"/>
          <w:rFonts w:ascii="Verdana" w:hAnsi="Verdana"/>
          <w:color w:val="4682B4"/>
          <w:sz w:val="18"/>
          <w:szCs w:val="18"/>
        </w:rPr>
        <w:t>объединение</w:t>
      </w:r>
      <w:r>
        <w:rPr>
          <w:rFonts w:ascii="Verdana" w:hAnsi="Verdana"/>
          <w:color w:val="000000"/>
          <w:sz w:val="18"/>
          <w:szCs w:val="18"/>
        </w:rPr>
        <w:t>» и «</w:t>
      </w:r>
      <w:r>
        <w:rPr>
          <w:rStyle w:val="WW8Num4z0"/>
          <w:rFonts w:ascii="Verdana" w:hAnsi="Verdana"/>
          <w:color w:val="4682B4"/>
          <w:sz w:val="18"/>
          <w:szCs w:val="18"/>
        </w:rPr>
        <w:t>общественное объединение</w:t>
      </w:r>
      <w:r>
        <w:rPr>
          <w:rFonts w:ascii="Verdana" w:hAnsi="Verdana"/>
          <w:color w:val="000000"/>
          <w:sz w:val="18"/>
          <w:szCs w:val="18"/>
        </w:rPr>
        <w:t>» в ст.ЗО Конституции РФ употреблялись разработчиками как синонимы. Данные понятия, использованные в смысле нормативно-правовых актов и правовых позиций исследователей советского периода, а также материалов Конституционной комиссии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Fonts w:ascii="Verdana" w:hAnsi="Verdana"/>
          <w:color w:val="000000"/>
          <w:sz w:val="18"/>
          <w:szCs w:val="18"/>
        </w:rPr>
        <w:t>Совета РФ и Конституционного совещания, обозначают любые негосударственные коллективные субъекты конституционного права, созданные двумя и более лицами, включая негосударственные юридические лица.</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5. В исследовании доказано, что конституционное право на объединение гарантирует право на создание, участие в деятельности и выход из общественных объединений в широком смысле, т.е. из любых негосударственных объединений, соответствующих признакам; выводимым? из5 ст.30 Конституции РФ. Создание собственно общественных объединений (общественных: организаций, общественных движений, общественных фондов; общественных учреждений, органов общественной самодеятельности и политических партий), статус которых регулируется нормами Федерального закона «©б общественных объединениях» — или общественных объединений в узком смысле - </w:t>
      </w:r>
      <w:r>
        <w:rPr>
          <w:rFonts w:ascii="Verdana" w:hAnsi="Verdana"/>
          <w:color w:val="000000"/>
          <w:sz w:val="18"/>
          <w:szCs w:val="18"/>
        </w:rPr>
        <w:lastRenderedPageBreak/>
        <w:t>является лишь одним из способов: реализации права на объединение, проявляющимся преимущественно в общественногполитической сфере:</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Установлено, что действующее федеральное законодательство в сфере правового регулирования реализации; права на объединение является недостаточно системным.- Существующая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конкретизация, конституционного права: на. объединение- основана на- «</w:t>
      </w:r>
      <w:r>
        <w:rPr>
          <w:rStyle w:val="WW8Num4z0"/>
          <w:rFonts w:ascii="Verdana" w:hAnsi="Verdana"/>
          <w:color w:val="4682B4"/>
          <w:sz w:val="18"/>
          <w:szCs w:val="18"/>
        </w:rPr>
        <w:t>двоичной</w:t>
      </w:r>
      <w:r>
        <w:rPr>
          <w:rFonts w:ascii="Verdana" w:hAnsi="Verdana"/>
          <w:color w:val="000000"/>
          <w:sz w:val="18"/>
          <w:szCs w:val="18"/>
        </w:rPr>
        <w:t>» системе регулирования. С одной стороны, отношения в области реализации права на объединение регулируются актами конституционного - права (законы об « общественных объединениях, о свободе совести » религиозных объединениях и др.), с другой — актами гражданского права о правовом статусе юридических лиц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Жилищный кодекс РФ, законы о некоммерческих. (организациях, о саморегулируемых организациях,, о потребительской кооперации и, др.). Причину существования», «</w:t>
      </w:r>
      <w:r>
        <w:rPr>
          <w:rStyle w:val="WW8Num4z0"/>
          <w:rFonts w:ascii="Verdana" w:hAnsi="Verdana"/>
          <w:color w:val="4682B4"/>
          <w:sz w:val="18"/>
          <w:szCs w:val="18"/>
        </w:rPr>
        <w:t>двоичной</w:t>
      </w:r>
      <w:r>
        <w:rPr>
          <w:rFonts w:ascii="Verdana" w:hAnsi="Verdana"/>
          <w:color w:val="000000"/>
          <w:sz w:val="18"/>
          <w:szCs w:val="18"/>
        </w:rPr>
        <w:t>» системы регулирований отношений в области реализации, права на объединение диссертант усматривает в существовании различных целей и задач конституционного и: гражданского законодательства. Если нормы конституционного законодательства в области регулирования права на объединение направлены, прежде всего, на обеспечение политического и идеологического плюрализма, то нормы гражданского законодательства главным образом направлены на обеспечение стабильности и надежности гражданского оборота.</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Разнонаправленность и недостаточная системность отраслевого' регулирования права на объединение приводит к большому количеству противоречий в нормах законодательства. По этой причине необходимо осуществить систематизацию конституционного и гражданского законодательства, о праве на. объединение и негосударственных объединениях в целях обеспечения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правового регулирования, соответствующего нормам. ст.ЗО Конституции РФ.</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Доказано, что в действующем Федеральном законе «</w:t>
      </w:r>
      <w:r>
        <w:rPr>
          <w:rStyle w:val="WW8Num4z0"/>
          <w:rFonts w:ascii="Verdana" w:hAnsi="Verdana"/>
          <w:color w:val="4682B4"/>
          <w:sz w:val="18"/>
          <w:szCs w:val="18"/>
        </w:rPr>
        <w:t>Об общественных объединениях</w:t>
      </w:r>
      <w:r>
        <w:rPr>
          <w:rFonts w:ascii="Verdana" w:hAnsi="Verdana"/>
          <w:color w:val="000000"/>
          <w:sz w:val="18"/>
          <w:szCs w:val="18"/>
        </w:rPr>
        <w:t>» (ст. 5) недопустимо сужаются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рамки действия права-на объединение, установленные в ст.ЗО Конституции РФ, в результате чего к коллективным субъектам, создание которых рассматривается как реализация права на объединение, формально относятся только общественные объединения в узком смысле, т.е. соответствующие признакам общественного объединения, указанным в этом Законе. При этом за пределами конституционно-правового регулирования права на объединение фактически остаются такие субъекты, как религиозные объединения, иные негосударственные некоммерческие организации, а также коммерческие организации, соответствующие признакам негосударственных объединений.</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диссертанта, по смыслу ст.ЗО Конституции РФ к негосударственным объединениям относятся те коммерческие организации, которые являются объединениями лиц (хозяйственные товарищества и производственные кооперативы). Объединения же капиталов (хозяйственные общества), являющиеся в большей степени формой участия граждан в предпринимательской деятельности, не должны рассматриваться в качестве негосударственных объединений по причине их несоответствия признаку личного участия членов (участников) объединения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объединения.</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диссертации доказано, что к числу негосударственных объединений относятся саморегулируемые организации с добровольным членством. Саморегулируемые организации, действующие в сферах с обязательным членством участников оборота в одной из</w:t>
      </w:r>
      <w:r>
        <w:rPr>
          <w:rStyle w:val="WW8Num3z0"/>
          <w:rFonts w:ascii="Verdana" w:hAnsi="Verdana"/>
          <w:color w:val="000000"/>
          <w:sz w:val="18"/>
          <w:szCs w:val="18"/>
        </w:rPr>
        <w:t> </w:t>
      </w:r>
      <w:r>
        <w:rPr>
          <w:rStyle w:val="WW8Num4z0"/>
          <w:rFonts w:ascii="Verdana" w:hAnsi="Verdana"/>
          <w:color w:val="4682B4"/>
          <w:sz w:val="18"/>
          <w:szCs w:val="18"/>
        </w:rPr>
        <w:t>СРО</w:t>
      </w:r>
      <w:r>
        <w:rPr>
          <w:rFonts w:ascii="Verdana" w:hAnsi="Verdana"/>
          <w:color w:val="000000"/>
          <w:sz w:val="18"/>
          <w:szCs w:val="18"/>
        </w:rPr>
        <w:t>, не должны рассматриваться в качестве негосударственных объединений по причине их несоответствия признаку добровольности.</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Исходя из проведенного исследования можно сделать, вывод о том, что проект федерального закона «</w:t>
      </w:r>
      <w:r>
        <w:rPr>
          <w:rStyle w:val="WW8Num4z0"/>
          <w:rFonts w:ascii="Verdana" w:hAnsi="Verdana"/>
          <w:color w:val="4682B4"/>
          <w:sz w:val="18"/>
          <w:szCs w:val="18"/>
        </w:rPr>
        <w:t>О внесении, изменений в Гражданский кодекс РФ</w:t>
      </w:r>
      <w:r>
        <w:rPr>
          <w:rFonts w:ascii="Verdana" w:hAnsi="Verdana"/>
          <w:color w:val="000000"/>
          <w:sz w:val="18"/>
          <w:szCs w:val="18"/>
        </w:rPr>
        <w:t>», разработанный'Советом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кодификации и совершенствованию гражданского законодательства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Указа Президента Российской Федерации от 18 июля 2008 года № 1108 «</w:t>
      </w:r>
      <w:r>
        <w:rPr>
          <w:rStyle w:val="WW8Num4z0"/>
          <w:rFonts w:ascii="Verdana" w:hAnsi="Verdana"/>
          <w:color w:val="4682B4"/>
          <w:sz w:val="18"/>
          <w:szCs w:val="18"/>
        </w:rPr>
        <w:t>О совершенствовании гражданского законодательства</w:t>
      </w:r>
      <w:r>
        <w:rPr>
          <w:rFonts w:ascii="Verdana" w:hAnsi="Verdana"/>
          <w:color w:val="000000"/>
          <w:sz w:val="18"/>
          <w:szCs w:val="18"/>
        </w:rPr>
        <w:t xml:space="preserve">», частично не соответствует ст.ЗО Конституции РФ, поскольку вводит закрытый перечень негосударственных некоммерческих объединений, не учитывая, специфику большого количества объединений, являющихся субъектами конституционного права, а также устанавливает для всех объединений обязательную процедуру </w:t>
      </w:r>
      <w:r>
        <w:rPr>
          <w:rFonts w:ascii="Verdana" w:hAnsi="Verdana"/>
          <w:color w:val="000000"/>
          <w:sz w:val="18"/>
          <w:szCs w:val="18"/>
        </w:rPr>
        <w:lastRenderedPageBreak/>
        <w:t>государственной регистрации, что является нарушением ст.ЗО5 Конституции РФ и норм международного права о статусе общественных ассоциаций.</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диссертации доказано, что Государственно-общественные и общественно-государственные объединения, предусмотренные ст.51 Федерального закона «</w:t>
      </w:r>
      <w:r>
        <w:rPr>
          <w:rStyle w:val="WW8Num4z0"/>
          <w:rFonts w:ascii="Verdana" w:hAnsi="Verdana"/>
          <w:color w:val="4682B4"/>
          <w:sz w:val="18"/>
          <w:szCs w:val="18"/>
        </w:rPr>
        <w:t>Об общественных объединениях</w:t>
      </w:r>
      <w:r>
        <w:rPr>
          <w:rFonts w:ascii="Verdana" w:hAnsi="Verdana"/>
          <w:color w:val="000000"/>
          <w:sz w:val="18"/>
          <w:szCs w:val="18"/>
        </w:rPr>
        <w:t>», нельзя считать негосударственными объединениями в смысле ст.ЗО Конституции-РФ, т.к. суть конституционного права на объединение подразумевает независимость негосударственных объединений от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Данная разновидность организаций не соответствует духу ст.ЗО Конституции РФ, поэтому институт государственно-общественных и общественно-государственных объединений целесообразно исключить из текста. Федерального закона «</w:t>
      </w:r>
      <w:r>
        <w:rPr>
          <w:rStyle w:val="WW8Num4z0"/>
          <w:rFonts w:ascii="Verdana" w:hAnsi="Verdana"/>
          <w:color w:val="4682B4"/>
          <w:sz w:val="18"/>
          <w:szCs w:val="18"/>
        </w:rPr>
        <w:t>Об общественных объединениях</w:t>
      </w:r>
      <w:r>
        <w:rPr>
          <w:rFonts w:ascii="Verdana" w:hAnsi="Verdana"/>
          <w:color w:val="000000"/>
          <w:sz w:val="18"/>
          <w:szCs w:val="18"/>
        </w:rPr>
        <w:t>» и иных нормативно-правовых актов.</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Установлено, что введенное в российское законодательство (Закон об общественных объединениях, Закон о некоммерческих организациях) понятие «</w:t>
      </w:r>
      <w:r>
        <w:rPr>
          <w:rStyle w:val="WW8Num4z0"/>
          <w:rFonts w:ascii="Verdana" w:hAnsi="Verdana"/>
          <w:color w:val="4682B4"/>
          <w:sz w:val="18"/>
          <w:szCs w:val="18"/>
        </w:rPr>
        <w:t>иностранная, некоммерческая, неправительственная организация</w:t>
      </w:r>
      <w:r>
        <w:rPr>
          <w:rFonts w:ascii="Verdana" w:hAnsi="Verdana"/>
          <w:color w:val="000000"/>
          <w:sz w:val="18"/>
          <w:szCs w:val="18"/>
        </w:rPr>
        <w:t>» по своему значению идентично1 понятию «</w:t>
      </w:r>
      <w:r>
        <w:rPr>
          <w:rStyle w:val="WW8Num4z0"/>
          <w:rFonts w:ascii="Verdana" w:hAnsi="Verdana"/>
          <w:color w:val="4682B4"/>
          <w:sz w:val="18"/>
          <w:szCs w:val="18"/>
        </w:rPr>
        <w:t>негосударственное некоммерческое объединение</w:t>
      </w:r>
      <w:r>
        <w:rPr>
          <w:rFonts w:ascii="Verdana" w:hAnsi="Verdana"/>
          <w:color w:val="000000"/>
          <w:sz w:val="18"/>
          <w:szCs w:val="18"/>
        </w:rPr>
        <w:t>», если такая» организация; создана в - соответствии с законодательством иностранного государства. В действующем российском законодательстве также регулируется! правовой статус «</w:t>
      </w:r>
      <w:r>
        <w:rPr>
          <w:rStyle w:val="WW8Num4z0"/>
          <w:rFonts w:ascii="Verdana" w:hAnsi="Verdana"/>
          <w:color w:val="4682B4"/>
          <w:sz w:val="18"/>
          <w:szCs w:val="18"/>
        </w:rPr>
        <w:t>иностранных коммерческих неправительственных организаций</w:t>
      </w:r>
      <w:r>
        <w:rPr>
          <w:rFonts w:ascii="Verdana" w:hAnsi="Verdana"/>
          <w:color w:val="000000"/>
          <w:sz w:val="18"/>
          <w:szCs w:val="18"/>
        </w:rPr>
        <w:t>» (Закон: об иностранных: инвестициях). Понятия; «иностранная': некоммерческая:неправительственная-, организация» и «иностранная коммерческая* неправительственная- организация» являются^ частью родового понятия «</w:t>
      </w:r>
      <w:r>
        <w:rPr>
          <w:rStyle w:val="WW8Num4z0"/>
          <w:rFonts w:ascii="Verdana" w:hAnsi="Verdana"/>
          <w:color w:val="4682B4"/>
          <w:sz w:val="18"/>
          <w:szCs w:val="18"/>
        </w:rPr>
        <w:t>иностранная неправительственная организация</w:t>
      </w:r>
      <w:r>
        <w:rPr>
          <w:rFonts w:ascii="Verdana" w:hAnsi="Verdana"/>
          <w:color w:val="000000"/>
          <w:sz w:val="18"/>
          <w:szCs w:val="18"/>
        </w:rPr>
        <w:t>», охватывающего собой все негосударственные объединения:, созданные в соответствии: с нормами законодательства^ иностранных государств и действующие на территории Российской Федерации.</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диссертации доказано, что ограничения права на объединение должны устанавливаться федеральным законодательством? только: для; конкретизации предусмотренных ч.З ст.55 Конституции РФ</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но не должны вводить новые основания ограничения права на объединение.</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Ограничения конституционного права на объединение подразделяются на: 1) ограничения по целям деятельности негосударственного объединения;</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ограничения по перечню</w:t>
      </w:r>
      <w:r>
        <w:rPr>
          <w:rStyle w:val="WW8Num3z0"/>
          <w:rFonts w:ascii="Verdana" w:hAnsi="Verdana"/>
          <w:color w:val="000000"/>
          <w:sz w:val="18"/>
          <w:szCs w:val="18"/>
        </w:rPr>
        <w:t> </w:t>
      </w:r>
      <w:r>
        <w:rPr>
          <w:rStyle w:val="WW8Num4z0"/>
          <w:rFonts w:ascii="Verdana" w:hAnsi="Verdana"/>
          <w:color w:val="4682B4"/>
          <w:sz w:val="18"/>
          <w:szCs w:val="18"/>
        </w:rPr>
        <w:t>правомочных</w:t>
      </w:r>
      <w:r>
        <w:rPr>
          <w:rStyle w:val="WW8Num3z0"/>
          <w:rFonts w:ascii="Verdana" w:hAnsi="Verdana"/>
          <w:color w:val="000000"/>
          <w:sz w:val="18"/>
          <w:szCs w:val="18"/>
        </w:rPr>
        <w:t> </w:t>
      </w:r>
      <w:r>
        <w:rPr>
          <w:rFonts w:ascii="Verdana" w:hAnsi="Verdana"/>
          <w:color w:val="000000"/>
          <w:sz w:val="18"/>
          <w:szCs w:val="18"/>
        </w:rPr>
        <w:t>субъектов, права на объединение;</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ограничения по сферам деятельности объединения; 4) ограничения, по численному составу учредителей, членов или участников объединения.</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Результаты диссертационного исследования могут быть использованы при подготовке проектов нормативно-правовых актов о внесении изменений в действующее российское законодательство в части систематизации.организационно-правовых форм негосударственных объединений, установления правовых оснований и рамок ограничения конституционного права на объединение в обычных условиях и в условиях специальных правовых режимов, а также в совершенствовании форм взаимоотношений государства с негосударственными объединениями.</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может быть использовано в научно-педагогической деятельности по курсу конституционного права России, конституционного права зарубежных стран, муниципального права, гражданского права. Также; материалы настоящего диссертационного исследования могут быть использованы при преподавании учебных курсов «</w:t>
      </w:r>
      <w:r>
        <w:rPr>
          <w:rStyle w:val="WW8Num4z0"/>
          <w:rFonts w:ascii="Verdana" w:hAnsi="Verdana"/>
          <w:color w:val="4682B4"/>
          <w:sz w:val="18"/>
          <w:szCs w:val="18"/>
        </w:rPr>
        <w:t>Права человека</w:t>
      </w:r>
      <w:r>
        <w:rPr>
          <w:rFonts w:ascii="Verdana" w:hAnsi="Verdana"/>
          <w:color w:val="000000"/>
          <w:sz w:val="18"/>
          <w:szCs w:val="18"/>
        </w:rPr>
        <w:t>», «</w:t>
      </w:r>
      <w:r>
        <w:rPr>
          <w:rStyle w:val="WW8Num4z0"/>
          <w:rFonts w:ascii="Verdana" w:hAnsi="Verdana"/>
          <w:color w:val="4682B4"/>
          <w:sz w:val="18"/>
          <w:szCs w:val="18"/>
        </w:rPr>
        <w:t>Правовое обеспечение государственного управления</w:t>
      </w:r>
      <w:r>
        <w:rPr>
          <w:rFonts w:ascii="Verdana" w:hAnsi="Verdana"/>
          <w:color w:val="000000"/>
          <w:sz w:val="18"/>
          <w:szCs w:val="18"/>
        </w:rPr>
        <w:t>», при подготовке: учебников, учебных программ,.учебно-методических пособий.</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диссертационного исследования. Автором подготовлен ряд публикаций, в которых освещены основные результаты настоящего диссертационного исследования. .</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использованы* автором в процессе преподавания учебных курсов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и муниципальному праву России, а также курса «</w:t>
      </w:r>
      <w:r>
        <w:rPr>
          <w:rStyle w:val="WW8Num4z0"/>
          <w:rFonts w:ascii="Verdana" w:hAnsi="Verdana"/>
          <w:color w:val="4682B4"/>
          <w:sz w:val="18"/>
          <w:szCs w:val="18"/>
        </w:rPr>
        <w:t>Правовое: обеспечение государственного и муниципального управления</w:t>
      </w:r>
      <w:r>
        <w:rPr>
          <w:rFonts w:ascii="Verdana" w:hAnsi="Verdana"/>
          <w:color w:val="000000"/>
          <w:sz w:val="18"/>
          <w:szCs w:val="18"/>
        </w:rPr>
        <w:t>».</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Результаты диссертационного исследования использованы автором при подготовке предложений для рабочей; группы, по совершенствованию законодательства- о некоммерческих </w:t>
      </w:r>
      <w:r>
        <w:rPr>
          <w:rFonts w:ascii="Verdana" w:hAnsi="Verdana"/>
          <w:color w:val="000000"/>
          <w:sz w:val="18"/>
          <w:szCs w:val="18"/>
        </w:rPr>
        <w:lastRenderedPageBreak/>
        <w:t>организациях,, созданной Распоряжением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8 мая 2009 года № 289-рп «Об образовании рабочей группы по вопросам совершенствования законодательства^Российской Федерации о некоммерческих организациях»-.</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-2009. -№ 19. - Ст. 2326.</w:t>
      </w:r>
    </w:p>
    <w:p w:rsidR="00E6516D" w:rsidRDefault="00E6516D" w:rsidP="00E6516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использованы автором в практической работе в качестве руководителя внутригородского муниципального образования Левобережное в городе Москве в вопросах создания и деятельности органов территориального общественного самоуправления.</w:t>
      </w:r>
    </w:p>
    <w:p w:rsidR="00E6516D" w:rsidRDefault="00E6516D" w:rsidP="00E6516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автором в процессе выступления на международных, всероссийских и межвузовских конференциях, в том числе: XV, XVI, XVIII международных конференциях студентов, аспирантов и молодых ученых «Ломоносов-2008», «Ломоносов-2009», «Ломоносов-2011»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Международной межвузовская научно-практическая конференция студентов и аспирантов «</w:t>
      </w:r>
      <w:r>
        <w:rPr>
          <w:rStyle w:val="WW8Num4z0"/>
          <w:rFonts w:ascii="Verdana" w:hAnsi="Verdana"/>
          <w:color w:val="4682B4"/>
          <w:sz w:val="18"/>
          <w:szCs w:val="18"/>
        </w:rPr>
        <w:t>Традиции и новации в системе современного российского права</w:t>
      </w:r>
      <w:r>
        <w:rPr>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O.E. Кутафина, 2008); IV Международной научно-практической конференции студентов, аспирантов и соискателей «</w:t>
      </w:r>
      <w:r>
        <w:rPr>
          <w:rStyle w:val="WW8Num4z0"/>
          <w:rFonts w:ascii="Verdana" w:hAnsi="Verdana"/>
          <w:color w:val="4682B4"/>
          <w:sz w:val="18"/>
          <w:szCs w:val="18"/>
        </w:rPr>
        <w:t>Проблемы и перспективы развития современных правовых систем</w:t>
      </w:r>
      <w:r>
        <w:rPr>
          <w:rFonts w:ascii="Verdana" w:hAnsi="Verdana"/>
          <w:color w:val="000000"/>
          <w:sz w:val="18"/>
          <w:szCs w:val="18"/>
        </w:rPr>
        <w:t>» (НовГУ им. Ярослава Мудрого, 2008); IV Международной школе-практикуме молодых ученых-юристов на тему «</w:t>
      </w:r>
      <w:r>
        <w:rPr>
          <w:rStyle w:val="WW8Num4z0"/>
          <w:rFonts w:ascii="Verdana" w:hAnsi="Verdana"/>
          <w:color w:val="4682B4"/>
          <w:sz w:val="18"/>
          <w:szCs w:val="18"/>
        </w:rPr>
        <w:t>Правовые проблемы научного прогресса</w:t>
      </w:r>
      <w:r>
        <w:rPr>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2009).</w:t>
      </w:r>
    </w:p>
    <w:p w:rsidR="00E6516D" w:rsidRDefault="00E6516D" w:rsidP="00E6516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E6516D" w:rsidRDefault="00E6516D" w:rsidP="00E6516D">
      <w:pPr>
        <w:jc w:val="both"/>
        <w:rPr>
          <w:rFonts w:ascii="Verdana" w:hAnsi="Verdana"/>
          <w:color w:val="FF0000"/>
          <w:sz w:val="18"/>
          <w:szCs w:val="18"/>
        </w:rPr>
      </w:pPr>
    </w:p>
    <w:p w:rsidR="00E6516D" w:rsidRDefault="00E6516D" w:rsidP="00E6516D">
      <w:pPr>
        <w:jc w:val="both"/>
        <w:rPr>
          <w:rFonts w:ascii="Verdana" w:hAnsi="Verdana"/>
          <w:color w:val="FF0000"/>
          <w:sz w:val="18"/>
          <w:szCs w:val="18"/>
        </w:rPr>
      </w:pP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12" w:rsidRDefault="00821612">
      <w:r>
        <w:separator/>
      </w:r>
    </w:p>
  </w:endnote>
  <w:endnote w:type="continuationSeparator" w:id="0">
    <w:p w:rsidR="00821612" w:rsidRDefault="0082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12" w:rsidRDefault="00821612">
      <w:r>
        <w:separator/>
      </w:r>
    </w:p>
  </w:footnote>
  <w:footnote w:type="continuationSeparator" w:id="0">
    <w:p w:rsidR="00821612" w:rsidRDefault="0082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612"/>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09D5-9B1A-4A9B-92C9-1245C2E5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12080</TotalTime>
  <Pages>7</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2009-02-06T08:36:00Z</cp:lastPrinted>
  <dcterms:created xsi:type="dcterms:W3CDTF">2015-03-22T11:10:00Z</dcterms:created>
  <dcterms:modified xsi:type="dcterms:W3CDTF">2015-10-08T10:58:00Z</dcterms:modified>
</cp:coreProperties>
</file>