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FC09" w14:textId="1AB59F46" w:rsidR="004210C8" w:rsidRDefault="00CC1E59" w:rsidP="00CC1E59">
      <w:pPr>
        <w:rPr>
          <w:rFonts w:ascii="Verdana" w:hAnsi="Verdana"/>
          <w:b/>
          <w:bCs/>
          <w:color w:val="000000"/>
          <w:shd w:val="clear" w:color="auto" w:fill="FFFFFF"/>
        </w:rPr>
      </w:pPr>
      <w:r>
        <w:rPr>
          <w:rFonts w:ascii="Verdana" w:hAnsi="Verdana"/>
          <w:b/>
          <w:bCs/>
          <w:color w:val="000000"/>
          <w:shd w:val="clear" w:color="auto" w:fill="FFFFFF"/>
        </w:rPr>
        <w:t>Левада Ірина Миколаївна. Клініко-патогенетичне значення порушень реології сечі у хворих на хронічний гломерулонефрит: Дис... канд. мед. наук: 14.01.02 / Донецький держ. медичний ун-т ім. М.Горького. - Донецьк, 2002. - 127арк. - Бібліогр.: арк. 101-127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C1E59" w:rsidRPr="00CC1E59" w14:paraId="02FCEA73" w14:textId="77777777" w:rsidTr="00CC1E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1E59" w:rsidRPr="00CC1E59" w14:paraId="278D9FDC" w14:textId="77777777">
              <w:trPr>
                <w:tblCellSpacing w:w="0" w:type="dxa"/>
              </w:trPr>
              <w:tc>
                <w:tcPr>
                  <w:tcW w:w="0" w:type="auto"/>
                  <w:vAlign w:val="center"/>
                  <w:hideMark/>
                </w:tcPr>
                <w:p w14:paraId="5FBB1734" w14:textId="77777777" w:rsidR="00CC1E59" w:rsidRPr="00CC1E59" w:rsidRDefault="00CC1E59" w:rsidP="00CC1E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Левада І.М. Клініко-патогенетичне значення порушень реології сечі у хворих на хронічний гломерулонефрит.-Рукопис.</w:t>
                  </w:r>
                </w:p>
                <w:p w14:paraId="2776067A" w14:textId="77777777" w:rsidR="00CC1E59" w:rsidRPr="00CC1E59" w:rsidRDefault="00CC1E59" w:rsidP="00CC1E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хвороби.-Луганський державний медичний університет МОЗ України, Луганськ, 2002.</w:t>
                  </w:r>
                </w:p>
                <w:p w14:paraId="75E32EF7" w14:textId="77777777" w:rsidR="00CC1E59" w:rsidRPr="00CC1E59" w:rsidRDefault="00CC1E59" w:rsidP="00CC1E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Дисертацію присвячено удосконаленню діагностики хронічного гломерулонефриту завдяки дослідженню реологічних властивостей сечі. Захворювання характеризується підвищенням модуля в’язкоеластичності та показників поверхневого натягу в зоні коротких і середніх часів існування поверхні на тлі зниження статичного поверхневого натягу та свіввідношення кутів нахилу кривих тензіореограм. Морфологічний варіант гломерулонефриту має свої особливості змін параметрів міжфазної тензіореометрії сечі. Тяжкість тубулоінтерстиціальних змін відображає критерій ступеня порушень динамічного поверхневого натягу, а судин – співвідношення рівноважного поверхневого натягу сечі й крові. У хворих з нефротичним синдромом відзначається вплив на результати лікування параметрів статичного поверхневого натягу сечі, а з нирковою недостатністю – білок-сурфактантного коефіцієнту.</w:t>
                  </w:r>
                </w:p>
              </w:tc>
            </w:tr>
          </w:tbl>
          <w:p w14:paraId="7F3A8493" w14:textId="77777777" w:rsidR="00CC1E59" w:rsidRPr="00CC1E59" w:rsidRDefault="00CC1E59" w:rsidP="00CC1E59">
            <w:pPr>
              <w:spacing w:after="0" w:line="240" w:lineRule="auto"/>
              <w:rPr>
                <w:rFonts w:ascii="Times New Roman" w:eastAsia="Times New Roman" w:hAnsi="Times New Roman" w:cs="Times New Roman"/>
                <w:sz w:val="24"/>
                <w:szCs w:val="24"/>
              </w:rPr>
            </w:pPr>
          </w:p>
        </w:tc>
      </w:tr>
      <w:tr w:rsidR="00CC1E59" w:rsidRPr="00CC1E59" w14:paraId="16F08982" w14:textId="77777777" w:rsidTr="00CC1E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1E59" w:rsidRPr="00CC1E59" w14:paraId="0EDBBD53" w14:textId="77777777">
              <w:trPr>
                <w:tblCellSpacing w:w="0" w:type="dxa"/>
              </w:trPr>
              <w:tc>
                <w:tcPr>
                  <w:tcW w:w="0" w:type="auto"/>
                  <w:vAlign w:val="center"/>
                  <w:hideMark/>
                </w:tcPr>
                <w:p w14:paraId="3BBAF8BF" w14:textId="77777777" w:rsidR="00CC1E59" w:rsidRPr="00CC1E59" w:rsidRDefault="00CC1E59" w:rsidP="00CC1E59">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У дисертації наведені теоретичні узагальнення і нове вирішення наукового завдання, що виявляються у змінах реологічних властивостей сечі при ХГН, які залежать від статі, віку хворих, наявності нефротичного синдрому, ниркової недостатності, морфологічного варіанта захворювання та ступеня ураження клубочків, канальців, строми, судин і є прогностичними критеріями патологічного процесу й ефективності подальшого лікування.</w:t>
                  </w:r>
                </w:p>
                <w:p w14:paraId="0EE58F5C" w14:textId="77777777" w:rsidR="00CC1E59" w:rsidRPr="00CC1E59" w:rsidRDefault="00CC1E59" w:rsidP="00CC1E59">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На клінічний перебіг ХГН впливають вік хворих, наявність нефротичного синдрому, ниркової недостатності й артеріальної гіпертензії, що визначається морфологічним варіантом захворювання і ступенем ураження окремих морфологічних структур нирок, від яких залежать показники загальної протеїнурії, фібронектинурії і b</w:t>
                  </w:r>
                  <w:r w:rsidRPr="00CC1E59">
                    <w:rPr>
                      <w:rFonts w:ascii="Times New Roman" w:eastAsia="Times New Roman" w:hAnsi="Times New Roman" w:cs="Times New Roman"/>
                      <w:sz w:val="24"/>
                      <w:szCs w:val="24"/>
                      <w:vertAlign w:val="subscript"/>
                    </w:rPr>
                    <w:t>2</w:t>
                  </w:r>
                  <w:r w:rsidRPr="00CC1E59">
                    <w:rPr>
                      <w:rFonts w:ascii="Times New Roman" w:eastAsia="Times New Roman" w:hAnsi="Times New Roman" w:cs="Times New Roman"/>
                      <w:sz w:val="24"/>
                      <w:szCs w:val="24"/>
                    </w:rPr>
                    <w:t>-мікроглобулінурії.</w:t>
                  </w:r>
                </w:p>
                <w:p w14:paraId="17B969FB" w14:textId="77777777" w:rsidR="00CC1E59" w:rsidRPr="00CC1E59" w:rsidRDefault="00CC1E59" w:rsidP="00CC1E59">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ХГН характеризується підвищенням модуля в’язкоеластичності сечі і показників поверхневого натягу в зоні коротких і середніх часів існування поверхні на тлі зниження статичного поверхневого натягу і співвідношення кутів нахилу кривих тензіореограм, на що впливають нефротичний синдром, зниження функції нирок і рівень білків у сечі.</w:t>
                  </w:r>
                </w:p>
                <w:p w14:paraId="3F238672" w14:textId="77777777" w:rsidR="00CC1E59" w:rsidRPr="00CC1E59" w:rsidRDefault="00CC1E59" w:rsidP="00CC1E59">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Морфологічний варіант ХГН має свої особливості змін параметрів міжфазної тензіореометрії сечі, причому тяжкість тубулоінтерстиціальних змін відображає критерій ступеня порушень динамічного поверхневого натягу, а судин – співвідношення рівноважного поверхневого натягу сечі та крові.</w:t>
                  </w:r>
                </w:p>
                <w:p w14:paraId="50E98919" w14:textId="77777777" w:rsidR="00CC1E59" w:rsidRPr="00CC1E59" w:rsidRDefault="00CC1E59" w:rsidP="00CC1E59">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Позитивний ефект від лікування досягається в кожного другого хворого на ХГН, а на його результати впливають нефротичний синдром, ниркова недостатність, артеріальна гіпертензія, високий рівень b</w:t>
                  </w:r>
                  <w:r w:rsidRPr="00CC1E59">
                    <w:rPr>
                      <w:rFonts w:ascii="Times New Roman" w:eastAsia="Times New Roman" w:hAnsi="Times New Roman" w:cs="Times New Roman"/>
                      <w:sz w:val="24"/>
                      <w:szCs w:val="24"/>
                      <w:vertAlign w:val="subscript"/>
                    </w:rPr>
                    <w:t>2</w:t>
                  </w:r>
                  <w:r w:rsidRPr="00CC1E59">
                    <w:rPr>
                      <w:rFonts w:ascii="Times New Roman" w:eastAsia="Times New Roman" w:hAnsi="Times New Roman" w:cs="Times New Roman"/>
                      <w:sz w:val="24"/>
                      <w:szCs w:val="24"/>
                    </w:rPr>
                    <w:t>-мікроглобулінурії та тяжкість ураження судин нирок, але не морфологічний варіант захворювання.</w:t>
                  </w:r>
                </w:p>
                <w:p w14:paraId="2A3D5B13" w14:textId="77777777" w:rsidR="00CC1E59" w:rsidRPr="00CC1E59" w:rsidRDefault="00CC1E59" w:rsidP="00CC1E59">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C1E59">
                    <w:rPr>
                      <w:rFonts w:ascii="Times New Roman" w:eastAsia="Times New Roman" w:hAnsi="Times New Roman" w:cs="Times New Roman"/>
                      <w:sz w:val="24"/>
                      <w:szCs w:val="24"/>
                    </w:rPr>
                    <w:t>У хворих з нефротичним синдромом відзначається вплив на результати лікування вихідних параметрів рівноважного поверхневого натягу сечі, а з нирковою недостатністю – білок-сурфактантного коефіцієнту, що є прогностичними критеріями ефективності подальших терапевтичних заходів.</w:t>
                  </w:r>
                </w:p>
              </w:tc>
            </w:tr>
          </w:tbl>
          <w:p w14:paraId="1EFACF54" w14:textId="77777777" w:rsidR="00CC1E59" w:rsidRPr="00CC1E59" w:rsidRDefault="00CC1E59" w:rsidP="00CC1E59">
            <w:pPr>
              <w:spacing w:after="0" w:line="240" w:lineRule="auto"/>
              <w:rPr>
                <w:rFonts w:ascii="Times New Roman" w:eastAsia="Times New Roman" w:hAnsi="Times New Roman" w:cs="Times New Roman"/>
                <w:sz w:val="24"/>
                <w:szCs w:val="24"/>
              </w:rPr>
            </w:pPr>
          </w:p>
        </w:tc>
      </w:tr>
    </w:tbl>
    <w:p w14:paraId="44AC0823" w14:textId="77777777" w:rsidR="00CC1E59" w:rsidRPr="00CC1E59" w:rsidRDefault="00CC1E59" w:rsidP="00CC1E59"/>
    <w:sectPr w:rsidR="00CC1E59" w:rsidRPr="00CC1E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3C34" w14:textId="77777777" w:rsidR="00F256C2" w:rsidRDefault="00F256C2">
      <w:pPr>
        <w:spacing w:after="0" w:line="240" w:lineRule="auto"/>
      </w:pPr>
      <w:r>
        <w:separator/>
      </w:r>
    </w:p>
  </w:endnote>
  <w:endnote w:type="continuationSeparator" w:id="0">
    <w:p w14:paraId="101F92E0" w14:textId="77777777" w:rsidR="00F256C2" w:rsidRDefault="00F2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343D" w14:textId="77777777" w:rsidR="00F256C2" w:rsidRDefault="00F256C2">
      <w:pPr>
        <w:spacing w:after="0" w:line="240" w:lineRule="auto"/>
      </w:pPr>
      <w:r>
        <w:separator/>
      </w:r>
    </w:p>
  </w:footnote>
  <w:footnote w:type="continuationSeparator" w:id="0">
    <w:p w14:paraId="4A5F5A7D" w14:textId="77777777" w:rsidR="00F256C2" w:rsidRDefault="00F2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56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8"/>
  </w:num>
  <w:num w:numId="4">
    <w:abstractNumId w:val="14"/>
  </w:num>
  <w:num w:numId="5">
    <w:abstractNumId w:val="13"/>
  </w:num>
  <w:num w:numId="6">
    <w:abstractNumId w:val="17"/>
  </w:num>
  <w:num w:numId="7">
    <w:abstractNumId w:val="5"/>
  </w:num>
  <w:num w:numId="8">
    <w:abstractNumId w:val="16"/>
  </w:num>
  <w:num w:numId="9">
    <w:abstractNumId w:val="6"/>
  </w:num>
  <w:num w:numId="10">
    <w:abstractNumId w:val="4"/>
  </w:num>
  <w:num w:numId="11">
    <w:abstractNumId w:val="3"/>
  </w:num>
  <w:num w:numId="12">
    <w:abstractNumId w:val="7"/>
  </w:num>
  <w:num w:numId="13">
    <w:abstractNumId w:val="19"/>
  </w:num>
  <w:num w:numId="14">
    <w:abstractNumId w:val="0"/>
  </w:num>
  <w:num w:numId="15">
    <w:abstractNumId w:val="10"/>
  </w:num>
  <w:num w:numId="16">
    <w:abstractNumId w:val="20"/>
  </w:num>
  <w:num w:numId="17">
    <w:abstractNumId w:val="11"/>
  </w:num>
  <w:num w:numId="18">
    <w:abstractNumId w:val="15"/>
  </w:num>
  <w:num w:numId="19">
    <w:abstractNumId w:val="2"/>
  </w:num>
  <w:num w:numId="20">
    <w:abstractNumId w:val="12"/>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6C2"/>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114237</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3238</cp:revision>
  <dcterms:created xsi:type="dcterms:W3CDTF">2024-06-20T08:51:00Z</dcterms:created>
  <dcterms:modified xsi:type="dcterms:W3CDTF">2025-01-09T12:48:00Z</dcterms:modified>
  <cp:category/>
</cp:coreProperties>
</file>