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00824" w:rsidRDefault="00500824" w:rsidP="00500824">
      <w:r w:rsidRPr="004B7236">
        <w:rPr>
          <w:rFonts w:ascii="Times New Roman" w:hAnsi="Times New Roman" w:cs="Times New Roman"/>
          <w:b/>
          <w:sz w:val="24"/>
          <w:szCs w:val="24"/>
        </w:rPr>
        <w:t>Чорнописька Вікторія Зіновіївна,</w:t>
      </w:r>
      <w:r w:rsidRPr="004B7236">
        <w:rPr>
          <w:rFonts w:ascii="Times New Roman" w:hAnsi="Times New Roman" w:cs="Times New Roman"/>
          <w:sz w:val="24"/>
          <w:szCs w:val="24"/>
        </w:rPr>
        <w:t xml:space="preserve"> доцент кафедри цивільного права та процесу Навчально-наукового інституту права, психології та інноваційної освіти Національного університету «Львівська політехніка». Назва дисертації: «Адміністративно-правові гарантії діяльності релігійних організацій в Україні». Шифр та назва спеціальності – 12.00.07 – адміністративне право і процес; фінансове право; інформаційне право. </w:t>
      </w:r>
      <w:r w:rsidRPr="004B7236">
        <w:rPr>
          <w:rFonts w:ascii="Times New Roman" w:hAnsi="Times New Roman" w:cs="Times New Roman"/>
          <w:spacing w:val="-2"/>
          <w:sz w:val="24"/>
          <w:szCs w:val="24"/>
        </w:rPr>
        <w:t>Спецрада Д 35.052.19 Національного університету «Львівська політехніка»</w:t>
      </w:r>
    </w:p>
    <w:sectPr w:rsidR="0064656E" w:rsidRPr="005008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B94B3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B94B3A">
                <w:pPr>
                  <w:spacing w:line="240" w:lineRule="auto"/>
                </w:pPr>
                <w:fldSimple w:instr=" PAGE \* MERGEFORMAT ">
                  <w:r w:rsidR="00500824" w:rsidRPr="005008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B94B3A">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B94B3A">
                  <w:pPr>
                    <w:spacing w:line="240" w:lineRule="auto"/>
                  </w:pPr>
                  <w:fldSimple w:instr=" PAGE \* MERGEFORMAT ">
                    <w:r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B94B3A">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C2D3D-0365-440C-9D01-83F4942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2021-04-28T18:13:00Z</dcterms:created>
  <dcterms:modified xsi:type="dcterms:W3CDTF">2021-05-05T20:39:00Z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