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36E5" w14:textId="0B5C41A2" w:rsidR="00230B0E" w:rsidRDefault="00CF6727" w:rsidP="00CF6727">
      <w:pPr>
        <w:rPr>
          <w:rFonts w:ascii="Verdana" w:hAnsi="Verdana"/>
          <w:b/>
          <w:bCs/>
          <w:color w:val="000000"/>
          <w:shd w:val="clear" w:color="auto" w:fill="FFFFFF"/>
        </w:rPr>
      </w:pPr>
      <w:r>
        <w:rPr>
          <w:rFonts w:ascii="Verdana" w:hAnsi="Verdana"/>
          <w:b/>
          <w:bCs/>
          <w:color w:val="000000"/>
          <w:shd w:val="clear" w:color="auto" w:fill="FFFFFF"/>
        </w:rPr>
        <w:t>Артемчук Людмила Миколаївна. Комп'ютерне оцінювання професійних знань в структурі підготовки медичних сестер: дисертація канд. пед. наук: 13.00.04 / Київський національний ун-т ім. Тараса Шевченка. - К., 2003. - 19 с.</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F6727" w:rsidRPr="00CF6727" w14:paraId="13A98A38" w14:textId="77777777" w:rsidTr="00CF67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6727" w:rsidRPr="00CF6727" w14:paraId="750E33EB" w14:textId="77777777">
              <w:trPr>
                <w:tblCellSpacing w:w="0" w:type="dxa"/>
              </w:trPr>
              <w:tc>
                <w:tcPr>
                  <w:tcW w:w="0" w:type="auto"/>
                  <w:vAlign w:val="center"/>
                  <w:hideMark/>
                </w:tcPr>
                <w:p w14:paraId="5B7288DE" w14:textId="77777777" w:rsidR="00CF6727" w:rsidRPr="00CF6727" w:rsidRDefault="00CF6727" w:rsidP="00CF67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727">
                    <w:rPr>
                      <w:rFonts w:ascii="Times New Roman" w:eastAsia="Times New Roman" w:hAnsi="Times New Roman" w:cs="Times New Roman"/>
                      <w:b/>
                      <w:bCs/>
                      <w:sz w:val="24"/>
                      <w:szCs w:val="24"/>
                    </w:rPr>
                    <w:lastRenderedPageBreak/>
                    <w:t>Артемчук Л.М. Комп’ютерне оцінювання професійних знань в структурі підготовки медичних сестер. – Рукопис.</w:t>
                  </w:r>
                </w:p>
                <w:p w14:paraId="53F98EC4" w14:textId="77777777" w:rsidR="00CF6727" w:rsidRPr="00CF6727" w:rsidRDefault="00CF6727" w:rsidP="00CF67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727">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Київський національний університет імені Тараса Шевченка, Київ, 2003 рік.</w:t>
                  </w:r>
                </w:p>
                <w:p w14:paraId="27E6DCC1" w14:textId="77777777" w:rsidR="00CF6727" w:rsidRPr="00CF6727" w:rsidRDefault="00CF6727" w:rsidP="00CF67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727">
                    <w:rPr>
                      <w:rFonts w:ascii="Times New Roman" w:eastAsia="Times New Roman" w:hAnsi="Times New Roman" w:cs="Times New Roman"/>
                      <w:sz w:val="24"/>
                      <w:szCs w:val="24"/>
                    </w:rPr>
                    <w:t>У дисертації обґрунтовано необхідність запровадження сучасних методів вимірювання та оцінювання знань студентів при використанні у навчальному процесі інформаційних технологій. Розроблено форму моніторингу якості професійної підготовки фахівців для освітньо-кваліфікаційного рівня “молодший спеціаліст”, яка базується на практиці стандартизованого тестового контролю, що забезпечує одержання об'єктивних і порівнювальних показників якості й ефективності навчання.</w:t>
                  </w:r>
                </w:p>
                <w:p w14:paraId="5EAFB300" w14:textId="77777777" w:rsidR="00CF6727" w:rsidRPr="00CF6727" w:rsidRDefault="00CF6727" w:rsidP="00CF67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727">
                    <w:rPr>
                      <w:rFonts w:ascii="Times New Roman" w:eastAsia="Times New Roman" w:hAnsi="Times New Roman" w:cs="Times New Roman"/>
                      <w:sz w:val="24"/>
                      <w:szCs w:val="24"/>
                    </w:rPr>
                    <w:t>Сучасна технологія стандартизованого тестування є замкненим технологічним циклом, що включає чотири обов’язкові компоненти: комп’ютерний банк уніфікованих тестових завдань, тест, тестовий іспит, статистичний аналіз тесту та тестових завдань. Медичні ліцензійні іспити як засіб стандартизованого контролю потребують відповідної комп’ютерної підтримки. Комп’ютерна програма складається з чотирьох основних функціональних блоків пов'язаних між собою інформаційними потоками і технологічними зв'язками загального циклу обробки інформації у процесі тестування.</w:t>
                  </w:r>
                </w:p>
                <w:p w14:paraId="1572ED81" w14:textId="77777777" w:rsidR="00CF6727" w:rsidRPr="00CF6727" w:rsidRDefault="00CF6727" w:rsidP="00CF67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727">
                    <w:rPr>
                      <w:rFonts w:ascii="Times New Roman" w:eastAsia="Times New Roman" w:hAnsi="Times New Roman" w:cs="Times New Roman"/>
                      <w:sz w:val="24"/>
                      <w:szCs w:val="24"/>
                    </w:rPr>
                    <w:t>Розроблено та апробовано методику комп’ютерного оцінювання професійних знань студентів внз України для спеціальності “сестринська справа” освітньо-кваліфікаційного рівня “молодший спеціаліст” та визначено форми подання даних оцінювання для використання в системі моніторингу та управління якістю підготовки спеціалістів.</w:t>
                  </w:r>
                </w:p>
              </w:tc>
            </w:tr>
          </w:tbl>
          <w:p w14:paraId="3CEAB834" w14:textId="77777777" w:rsidR="00CF6727" w:rsidRPr="00CF6727" w:rsidRDefault="00CF6727" w:rsidP="00CF6727">
            <w:pPr>
              <w:spacing w:after="0" w:line="240" w:lineRule="auto"/>
              <w:rPr>
                <w:rFonts w:ascii="Times New Roman" w:eastAsia="Times New Roman" w:hAnsi="Times New Roman" w:cs="Times New Roman"/>
                <w:sz w:val="24"/>
                <w:szCs w:val="24"/>
              </w:rPr>
            </w:pPr>
          </w:p>
        </w:tc>
      </w:tr>
      <w:tr w:rsidR="00CF6727" w:rsidRPr="00CF6727" w14:paraId="2BC4098F" w14:textId="77777777" w:rsidTr="00CF67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6727" w:rsidRPr="00CF6727" w14:paraId="5BDAB3E7" w14:textId="77777777">
              <w:trPr>
                <w:tblCellSpacing w:w="0" w:type="dxa"/>
              </w:trPr>
              <w:tc>
                <w:tcPr>
                  <w:tcW w:w="0" w:type="auto"/>
                  <w:vAlign w:val="center"/>
                  <w:hideMark/>
                </w:tcPr>
                <w:p w14:paraId="6A284C53" w14:textId="77777777" w:rsidR="00CF6727" w:rsidRPr="00CF6727" w:rsidRDefault="00CF6727" w:rsidP="00CF6727">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F6727">
                    <w:rPr>
                      <w:rFonts w:ascii="Times New Roman" w:eastAsia="Times New Roman" w:hAnsi="Times New Roman" w:cs="Times New Roman"/>
                      <w:sz w:val="24"/>
                      <w:szCs w:val="24"/>
                    </w:rPr>
                    <w:t>Підготовка фахівців для напряму “Медицина” має такі особливості: підготовка фахівців здійснюється двома шляхами, що призводять до набуття фахівцем двох різних кваліфікацій – “медична сестра” або “лікар”; послідовності освітньо-кваліфікаційних рівнів, що здобуваються особою при отриманні відповідної кваліфікації, різні і не є продовженням (доповненням) одна одної; кваліфікація – “медична сестра”</w:t>
                  </w:r>
                  <w:r w:rsidRPr="00CF6727">
                    <w:rPr>
                      <w:rFonts w:ascii="Times New Roman" w:eastAsia="Times New Roman" w:hAnsi="Times New Roman" w:cs="Times New Roman"/>
                      <w:b/>
                      <w:bCs/>
                      <w:sz w:val="24"/>
                      <w:szCs w:val="24"/>
                    </w:rPr>
                    <w:t> </w:t>
                  </w:r>
                  <w:r w:rsidRPr="00CF6727">
                    <w:rPr>
                      <w:rFonts w:ascii="Times New Roman" w:eastAsia="Times New Roman" w:hAnsi="Times New Roman" w:cs="Times New Roman"/>
                      <w:sz w:val="24"/>
                      <w:szCs w:val="24"/>
                    </w:rPr>
                    <w:t>присвоюється після засвоєння освітньо-професійної програми підготовки фахівця освітньо-кваліфікаційного рівня “молодший спеціаліст та бакалавр”; підготовка фахівця освітньо-кваліфікаційного рівня “молодший спеціаліст” здійснюється на базі повної та неповної середньої освіти. Сучасні вимоги до фахівця вимагають запровадження комплексних підходів до визначення показників якості навчання та методів її вимірювання, які мають реалізовувати принципи порівнювальності та об’єктивності. Методом контролю, що відповідає вимогам державних стандартів освіти, а саме, вимозі діагностичності, є метод стандартизованого тестування рівня професійних знань.</w:t>
                  </w:r>
                </w:p>
                <w:p w14:paraId="2704FF05" w14:textId="77777777" w:rsidR="00CF6727" w:rsidRPr="00CF6727" w:rsidRDefault="00CF6727" w:rsidP="00CF6727">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F6727">
                    <w:rPr>
                      <w:rFonts w:ascii="Times New Roman" w:eastAsia="Times New Roman" w:hAnsi="Times New Roman" w:cs="Times New Roman"/>
                      <w:sz w:val="24"/>
                      <w:szCs w:val="24"/>
                    </w:rPr>
                    <w:t>Реальний стан системи навчання можна обстежити та визначити при формуванні рівнів моніторингу професійних знань. Багаторівневий моніторинг побудовано за принципами системності, модульності та автономності, цілеспрямованості, об’єктивності, погодженості, коммунікативності та технологічності, інформативності, інтегрованості та диференційованості, керованості, несуперечності. Використання стандартизованого тестового контролю дозволяє виявляти зміни кількісно у всій системі підготовки фахівця та реалізувати нові функції моніторингу: динамічну, порівняльну, конкурентну, інформаційну, управлінську, комплексну.</w:t>
                  </w:r>
                </w:p>
                <w:p w14:paraId="05B827C1" w14:textId="77777777" w:rsidR="00CF6727" w:rsidRPr="00CF6727" w:rsidRDefault="00CF6727" w:rsidP="00CF6727">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F6727">
                    <w:rPr>
                      <w:rFonts w:ascii="Times New Roman" w:eastAsia="Times New Roman" w:hAnsi="Times New Roman" w:cs="Times New Roman"/>
                      <w:sz w:val="24"/>
                      <w:szCs w:val="24"/>
                    </w:rPr>
                    <w:lastRenderedPageBreak/>
                    <w:t>Сучасна технологія стандартизованого тестування є замкненим технологічним циклом, який включає чотири обов’язкові компоненти: комп’ютерний банк уніфікованих тестових завдань, тест, тестовий іспит, статистичний аналіз тесту та тестових завдань. Медичні ліцензійні іспити як засіб стандартизованого контролю потребують відповідної комп’ютерної підтримки. Комп’ютерна програма складається з чотирьох основних функціональних блоків, пов'язаних між собою інформаційними потоками і технологічними зв'язками загального циклу обробки інформації у процесі тестування: блок формування банка тестових завдань та експертизи; блок формування тесту; блок обробки результатів тестування; блок аналізу тестів та тестових завдань.</w:t>
                  </w:r>
                </w:p>
                <w:p w14:paraId="04D9CECA" w14:textId="77777777" w:rsidR="00CF6727" w:rsidRPr="00CF6727" w:rsidRDefault="00CF6727" w:rsidP="00CF67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727">
                    <w:rPr>
                      <w:rFonts w:ascii="Times New Roman" w:eastAsia="Times New Roman" w:hAnsi="Times New Roman" w:cs="Times New Roman"/>
                      <w:sz w:val="24"/>
                      <w:szCs w:val="24"/>
                    </w:rPr>
                    <w:t>Модуль банку тестових завдань та тесту включає багатовимірну матрицю змісту та відповідну багатовимірну специфікацію тестових завдань.</w:t>
                  </w:r>
                </w:p>
                <w:p w14:paraId="32DECD49" w14:textId="77777777" w:rsidR="00CF6727" w:rsidRPr="00CF6727" w:rsidRDefault="00CF6727" w:rsidP="00CF67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6727">
                    <w:rPr>
                      <w:rFonts w:ascii="Times New Roman" w:eastAsia="Times New Roman" w:hAnsi="Times New Roman" w:cs="Times New Roman"/>
                      <w:sz w:val="24"/>
                      <w:szCs w:val="24"/>
                    </w:rPr>
                    <w:t>Модуль аналізу тестів та тестових завдань реалізує такі основні функції: виконання розрахунків субтестів (відсоток відповідей за кожним субтестом); розрахунок психометрії тесту (визначення середнього первинного балу, середньоквадратичного відхилення, коефіцієнта надійності R, виду розподілу, асиметрії, ексцесу, коефіцієнта кореляції тощо); розрахунок психометрії ТЗ (індекс складності, індекс дискримінації, відсоток відповідей на кожен дистрактор тощо); генерація даних для аналізу валідності тесту.</w:t>
                  </w:r>
                </w:p>
                <w:p w14:paraId="28764250" w14:textId="77777777" w:rsidR="00CF6727" w:rsidRPr="00CF6727" w:rsidRDefault="00CF6727" w:rsidP="00CF6727">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F6727">
                    <w:rPr>
                      <w:rFonts w:ascii="Times New Roman" w:eastAsia="Times New Roman" w:hAnsi="Times New Roman" w:cs="Times New Roman"/>
                      <w:sz w:val="24"/>
                      <w:szCs w:val="24"/>
                    </w:rPr>
                    <w:t>Засіб діагностики якості підготовки медичних сестер відповідно до вимог державних стандартів має забезпечити вимірювання такого показника, який за властивостями є комплексним, інтегрованим і відповідає структурі змісту банку тестових завдань та тесту, що ґрунтуються на вимогах та змісту ОКХ і ОПП галузевих стандартів. Вимірюючи фактично один загальний результат за тестом (відсоток правильних відповідей) метод стандартизованого тестування, базуючись на багатовимірній структурі змісту, що закладається в основу комп’ютерного банку тестових завдань та змісту тесту, реалізує можливість диференціації цього показника на окремі складові. Розроблений комплекс комп’ютерних програм та відповідні форми подання результатів дозволяють отриманий результат тестування професійних знань подати як інтегрований показник якості підготовки студента шляхом диференціації його відповідно до змісту та використовувати ці результати як для моніторингу, так і для управління якістю підготовки медичних сестер.</w:t>
                  </w:r>
                </w:p>
              </w:tc>
            </w:tr>
          </w:tbl>
          <w:p w14:paraId="703491A3" w14:textId="77777777" w:rsidR="00CF6727" w:rsidRPr="00CF6727" w:rsidRDefault="00CF6727" w:rsidP="00CF6727">
            <w:pPr>
              <w:spacing w:after="0" w:line="240" w:lineRule="auto"/>
              <w:rPr>
                <w:rFonts w:ascii="Times New Roman" w:eastAsia="Times New Roman" w:hAnsi="Times New Roman" w:cs="Times New Roman"/>
                <w:sz w:val="24"/>
                <w:szCs w:val="24"/>
              </w:rPr>
            </w:pPr>
          </w:p>
        </w:tc>
      </w:tr>
    </w:tbl>
    <w:p w14:paraId="6D4E8A36" w14:textId="77777777" w:rsidR="00CF6727" w:rsidRPr="00CF6727" w:rsidRDefault="00CF6727" w:rsidP="00CF6727"/>
    <w:sectPr w:rsidR="00CF6727" w:rsidRPr="00CF67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707BA" w14:textId="77777777" w:rsidR="000367FA" w:rsidRDefault="000367FA">
      <w:pPr>
        <w:spacing w:after="0" w:line="240" w:lineRule="auto"/>
      </w:pPr>
      <w:r>
        <w:separator/>
      </w:r>
    </w:p>
  </w:endnote>
  <w:endnote w:type="continuationSeparator" w:id="0">
    <w:p w14:paraId="3950E048" w14:textId="77777777" w:rsidR="000367FA" w:rsidRDefault="0003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EB316" w14:textId="77777777" w:rsidR="000367FA" w:rsidRDefault="000367FA">
      <w:pPr>
        <w:spacing w:after="0" w:line="240" w:lineRule="auto"/>
      </w:pPr>
      <w:r>
        <w:separator/>
      </w:r>
    </w:p>
  </w:footnote>
  <w:footnote w:type="continuationSeparator" w:id="0">
    <w:p w14:paraId="5863C98C" w14:textId="77777777" w:rsidR="000367FA" w:rsidRDefault="00036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67F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0804"/>
    <w:multiLevelType w:val="multilevel"/>
    <w:tmpl w:val="6EB2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C23A8F"/>
    <w:multiLevelType w:val="multilevel"/>
    <w:tmpl w:val="A1E4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D52F65"/>
    <w:multiLevelType w:val="multilevel"/>
    <w:tmpl w:val="C0A6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FF33FF"/>
    <w:multiLevelType w:val="multilevel"/>
    <w:tmpl w:val="D19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628C6"/>
    <w:multiLevelType w:val="multilevel"/>
    <w:tmpl w:val="EDBE5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9106E8"/>
    <w:multiLevelType w:val="multilevel"/>
    <w:tmpl w:val="47448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41062E"/>
    <w:multiLevelType w:val="multilevel"/>
    <w:tmpl w:val="8B12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110FA5"/>
    <w:multiLevelType w:val="multilevel"/>
    <w:tmpl w:val="A33E2A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F56739"/>
    <w:multiLevelType w:val="multilevel"/>
    <w:tmpl w:val="6870F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1110E3"/>
    <w:multiLevelType w:val="multilevel"/>
    <w:tmpl w:val="26BA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491109"/>
    <w:multiLevelType w:val="multilevel"/>
    <w:tmpl w:val="79C4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2"/>
  </w:num>
  <w:num w:numId="4">
    <w:abstractNumId w:val="6"/>
  </w:num>
  <w:num w:numId="5">
    <w:abstractNumId w:val="1"/>
  </w:num>
  <w:num w:numId="6">
    <w:abstractNumId w:val="5"/>
  </w:num>
  <w:num w:numId="7">
    <w:abstractNumId w:val="0"/>
  </w:num>
  <w:num w:numId="8">
    <w:abstractNumId w:val="15"/>
  </w:num>
  <w:num w:numId="9">
    <w:abstractNumId w:val="10"/>
  </w:num>
  <w:num w:numId="10">
    <w:abstractNumId w:val="8"/>
  </w:num>
  <w:num w:numId="11">
    <w:abstractNumId w:val="3"/>
  </w:num>
  <w:num w:numId="12">
    <w:abstractNumId w:val="14"/>
  </w:num>
  <w:num w:numId="13">
    <w:abstractNumId w:val="13"/>
  </w:num>
  <w:num w:numId="14">
    <w:abstractNumId w:val="11"/>
  </w:num>
  <w:num w:numId="15">
    <w:abstractNumId w:val="4"/>
  </w:num>
  <w:num w:numId="1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7F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3906"/>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647"/>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1F4F"/>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8"/>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2ED1"/>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30692</TotalTime>
  <Pages>3</Pages>
  <Words>878</Words>
  <Characters>5008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6333</cp:revision>
  <dcterms:created xsi:type="dcterms:W3CDTF">2024-06-20T08:51:00Z</dcterms:created>
  <dcterms:modified xsi:type="dcterms:W3CDTF">2024-07-22T21:14:00Z</dcterms:modified>
  <cp:category/>
</cp:coreProperties>
</file>