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0BD2" w14:textId="77777777" w:rsidR="00F63343" w:rsidRDefault="00F63343" w:rsidP="00F63343">
      <w:pPr>
        <w:pStyle w:val="afffffffffffffffffffffffffff5"/>
        <w:rPr>
          <w:rFonts w:ascii="Verdana" w:hAnsi="Verdana"/>
          <w:color w:val="000000"/>
          <w:sz w:val="21"/>
          <w:szCs w:val="21"/>
        </w:rPr>
      </w:pPr>
      <w:r>
        <w:rPr>
          <w:rFonts w:ascii="Helvetica" w:hAnsi="Helvetica" w:cs="Helvetica"/>
          <w:b/>
          <w:bCs w:val="0"/>
          <w:color w:val="222222"/>
          <w:sz w:val="21"/>
          <w:szCs w:val="21"/>
        </w:rPr>
        <w:t>Ильинская, Светлана Геннадьевна.</w:t>
      </w:r>
      <w:r>
        <w:rPr>
          <w:rFonts w:ascii="Helvetica" w:hAnsi="Helvetica" w:cs="Helvetica"/>
          <w:color w:val="222222"/>
          <w:sz w:val="21"/>
          <w:szCs w:val="21"/>
        </w:rPr>
        <w:br/>
        <w:t xml:space="preserve">Толерантность как категория политической </w:t>
      </w:r>
      <w:proofErr w:type="gramStart"/>
      <w:r>
        <w:rPr>
          <w:rFonts w:ascii="Helvetica" w:hAnsi="Helvetica" w:cs="Helvetica"/>
          <w:color w:val="222222"/>
          <w:sz w:val="21"/>
          <w:szCs w:val="21"/>
        </w:rPr>
        <w:t>теории :</w:t>
      </w:r>
      <w:proofErr w:type="gramEnd"/>
      <w:r>
        <w:rPr>
          <w:rFonts w:ascii="Helvetica" w:hAnsi="Helvetica" w:cs="Helvetica"/>
          <w:color w:val="222222"/>
          <w:sz w:val="21"/>
          <w:szCs w:val="21"/>
        </w:rPr>
        <w:t xml:space="preserve"> диссертация ... кандидата политических наук : 23.00.02. - Москва, 2006. - 210 с.</w:t>
      </w:r>
    </w:p>
    <w:p w14:paraId="2EE54584" w14:textId="77777777" w:rsidR="00F63343" w:rsidRDefault="00F63343" w:rsidP="00F63343">
      <w:pPr>
        <w:pStyle w:val="20"/>
        <w:spacing w:before="0" w:after="312"/>
        <w:rPr>
          <w:rFonts w:ascii="Arial" w:hAnsi="Arial" w:cs="Arial"/>
          <w:caps/>
          <w:color w:val="333333"/>
          <w:sz w:val="27"/>
          <w:szCs w:val="27"/>
        </w:rPr>
      </w:pPr>
    </w:p>
    <w:p w14:paraId="2CA8A4B5" w14:textId="77777777" w:rsidR="00F63343" w:rsidRDefault="00F63343" w:rsidP="00F6334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Ильинская, Светлана Геннадьевна</w:t>
      </w:r>
    </w:p>
    <w:p w14:paraId="5CC37FBB"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0809D1"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Классические концепции толерантности и их противоречия.</w:t>
      </w:r>
    </w:p>
    <w:p w14:paraId="766D6B71"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 Начало дискуссии о терпимости.</w:t>
      </w:r>
    </w:p>
    <w:p w14:paraId="5EBFCA0E"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Локк о терпимости, её пределах и основаниях.</w:t>
      </w:r>
    </w:p>
    <w:p w14:paraId="7EB76C99"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Ограниченность исходной либеральной парадигмы.</w:t>
      </w:r>
    </w:p>
    <w:p w14:paraId="5DCE30E7"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Современное переосмысление рациональных оснований толерантности .28 Параграф 2. Толерантность на основании естественно-правовой концепции.</w:t>
      </w:r>
    </w:p>
    <w:p w14:paraId="4A36E98E"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Приоритет права над благом.</w:t>
      </w:r>
    </w:p>
    <w:p w14:paraId="37AACC0C"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Подмена моральной общности универсальностью принципов.</w:t>
      </w:r>
    </w:p>
    <w:p w14:paraId="2E62AB92"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Ключевой вопрос современных моральных дискуссий о толерантности .47 Параграф 3. Утилитаристская модель терпимости.</w:t>
      </w:r>
    </w:p>
    <w:p w14:paraId="1A5CD742"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Свобода и равенство как основа для терпимости.</w:t>
      </w:r>
    </w:p>
    <w:p w14:paraId="76BAC2EF"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Противоречия утилитаристской концепции толерантности.</w:t>
      </w:r>
    </w:p>
    <w:p w14:paraId="75D5415C"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1.3.3. </w:t>
      </w:r>
      <w:proofErr w:type="spellStart"/>
      <w:r>
        <w:rPr>
          <w:rFonts w:ascii="Arial" w:hAnsi="Arial" w:cs="Arial"/>
          <w:color w:val="333333"/>
          <w:sz w:val="21"/>
          <w:szCs w:val="21"/>
        </w:rPr>
        <w:t>Эмансипаторские</w:t>
      </w:r>
      <w:proofErr w:type="spellEnd"/>
      <w:r>
        <w:rPr>
          <w:rFonts w:ascii="Arial" w:hAnsi="Arial" w:cs="Arial"/>
          <w:color w:val="333333"/>
          <w:sz w:val="21"/>
          <w:szCs w:val="21"/>
        </w:rPr>
        <w:t xml:space="preserve"> последствия развития идей Милля.</w:t>
      </w:r>
    </w:p>
    <w:p w14:paraId="11394E0D"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Вызовы Современности и современные политико-философские дебаты о толерантности.</w:t>
      </w:r>
    </w:p>
    <w:p w14:paraId="5E74044A"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 Вызовы Современности.</w:t>
      </w:r>
    </w:p>
    <w:p w14:paraId="23D5743C"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Феномен массы и мозаичной культуры.</w:t>
      </w:r>
    </w:p>
    <w:p w14:paraId="4ED8E41C"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Трудовая миграция и политическое исключение.</w:t>
      </w:r>
    </w:p>
    <w:p w14:paraId="71B3D67E"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2.1.3. «Левый поворот» в теории толерантности.</w:t>
      </w:r>
    </w:p>
    <w:p w14:paraId="1B389530"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Политические и философские ответы Современности.</w:t>
      </w:r>
    </w:p>
    <w:p w14:paraId="64C01E30"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Теория справедливости и утрата толерантности.</w:t>
      </w:r>
    </w:p>
    <w:p w14:paraId="395309C7"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Альтернативный проект культурного признания и его неконтролируемые последствия.</w:t>
      </w:r>
    </w:p>
    <w:p w14:paraId="41AAF82D"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Замена толерантности солидарностью.</w:t>
      </w:r>
    </w:p>
    <w:p w14:paraId="56FFAADE"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3. Постлиберальная перспектива толерантности.</w:t>
      </w:r>
    </w:p>
    <w:p w14:paraId="294ADC4B"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«Культурные» конфликты: новые проблемы и перспективы толерантности</w:t>
      </w:r>
    </w:p>
    <w:p w14:paraId="37F1F453"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Подмена толерантности концептом групповых прав.</w:t>
      </w:r>
    </w:p>
    <w:p w14:paraId="5836EE24"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Постлиберальная толерантность.</w:t>
      </w:r>
    </w:p>
    <w:p w14:paraId="4E5ABAB0"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Специфика толерантности в России.</w:t>
      </w:r>
    </w:p>
    <w:p w14:paraId="09B8C317"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 Исторически сложившиеся в России типы терпимости.</w:t>
      </w:r>
    </w:p>
    <w:p w14:paraId="1020F1F8"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Имперская модель.</w:t>
      </w:r>
    </w:p>
    <w:p w14:paraId="5AEF7BCD"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Концепция Всеединства.</w:t>
      </w:r>
    </w:p>
    <w:p w14:paraId="306D56F8"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Советская модель терпимости.</w:t>
      </w:r>
    </w:p>
    <w:p w14:paraId="6DAE265B"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Параграф 2. Методологические установки и парадигмы мышления, стереотипы </w:t>
      </w:r>
      <w:proofErr w:type="spellStart"/>
      <w:r>
        <w:rPr>
          <w:rFonts w:ascii="Arial" w:hAnsi="Arial" w:cs="Arial"/>
          <w:color w:val="333333"/>
          <w:sz w:val="21"/>
          <w:szCs w:val="21"/>
        </w:rPr>
        <w:t>интолерантного</w:t>
      </w:r>
      <w:proofErr w:type="spellEnd"/>
      <w:r>
        <w:rPr>
          <w:rFonts w:ascii="Arial" w:hAnsi="Arial" w:cs="Arial"/>
          <w:color w:val="333333"/>
          <w:sz w:val="21"/>
          <w:szCs w:val="21"/>
        </w:rPr>
        <w:t xml:space="preserve"> поведения.</w:t>
      </w:r>
    </w:p>
    <w:p w14:paraId="4D026F16"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Групповой субъект: коллективные права и коллективная ответственность</w:t>
      </w:r>
    </w:p>
    <w:p w14:paraId="716C8CE9"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3.2.2. </w:t>
      </w:r>
      <w:proofErr w:type="spellStart"/>
      <w:r>
        <w:rPr>
          <w:rFonts w:ascii="Arial" w:hAnsi="Arial" w:cs="Arial"/>
          <w:color w:val="333333"/>
          <w:sz w:val="21"/>
          <w:szCs w:val="21"/>
        </w:rPr>
        <w:t>Примордиализм</w:t>
      </w:r>
      <w:proofErr w:type="spellEnd"/>
      <w:r>
        <w:rPr>
          <w:rFonts w:ascii="Arial" w:hAnsi="Arial" w:cs="Arial"/>
          <w:color w:val="333333"/>
          <w:sz w:val="21"/>
          <w:szCs w:val="21"/>
        </w:rPr>
        <w:t xml:space="preserve"> и этноцентризм.</w:t>
      </w:r>
    </w:p>
    <w:p w14:paraId="6C66B264"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Риторика национально-освободительной борьбы.</w:t>
      </w:r>
    </w:p>
    <w:p w14:paraId="3AD687F6"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3. Современная российская политическая практика толерантности.</w:t>
      </w:r>
    </w:p>
    <w:p w14:paraId="532AB5EB"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Перспективы толерантности в России.</w:t>
      </w:r>
    </w:p>
    <w:p w14:paraId="2891D223"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Маргинализация трудовых мигрантов.</w:t>
      </w:r>
    </w:p>
    <w:p w14:paraId="7D37536A" w14:textId="77777777" w:rsidR="00F63343" w:rsidRDefault="00F63343" w:rsidP="00F633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3.3.3. Проблемы гражданского </w:t>
      </w:r>
      <w:proofErr w:type="spellStart"/>
      <w:r>
        <w:rPr>
          <w:rFonts w:ascii="Arial" w:hAnsi="Arial" w:cs="Arial"/>
          <w:color w:val="333333"/>
          <w:sz w:val="21"/>
          <w:szCs w:val="21"/>
        </w:rPr>
        <w:t>нациестроительства</w:t>
      </w:r>
      <w:proofErr w:type="spellEnd"/>
      <w:r>
        <w:rPr>
          <w:rFonts w:ascii="Arial" w:hAnsi="Arial" w:cs="Arial"/>
          <w:color w:val="333333"/>
          <w:sz w:val="21"/>
          <w:szCs w:val="21"/>
        </w:rPr>
        <w:t>.</w:t>
      </w:r>
    </w:p>
    <w:p w14:paraId="7823CDB0" w14:textId="0B55C83F" w:rsidR="00F37380" w:rsidRPr="00F63343" w:rsidRDefault="00F37380" w:rsidP="00F63343"/>
    <w:sectPr w:rsidR="00F37380" w:rsidRPr="00F633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16AA" w14:textId="77777777" w:rsidR="00C664B9" w:rsidRDefault="00C664B9">
      <w:pPr>
        <w:spacing w:after="0" w:line="240" w:lineRule="auto"/>
      </w:pPr>
      <w:r>
        <w:separator/>
      </w:r>
    </w:p>
  </w:endnote>
  <w:endnote w:type="continuationSeparator" w:id="0">
    <w:p w14:paraId="4A2AA47E" w14:textId="77777777" w:rsidR="00C664B9" w:rsidRDefault="00C6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4D0F" w14:textId="77777777" w:rsidR="00C664B9" w:rsidRDefault="00C664B9"/>
    <w:p w14:paraId="35D70481" w14:textId="77777777" w:rsidR="00C664B9" w:rsidRDefault="00C664B9"/>
    <w:p w14:paraId="14D48A5B" w14:textId="77777777" w:rsidR="00C664B9" w:rsidRDefault="00C664B9"/>
    <w:p w14:paraId="38CC6F18" w14:textId="77777777" w:rsidR="00C664B9" w:rsidRDefault="00C664B9"/>
    <w:p w14:paraId="15CEC1BD" w14:textId="77777777" w:rsidR="00C664B9" w:rsidRDefault="00C664B9"/>
    <w:p w14:paraId="37EB3738" w14:textId="77777777" w:rsidR="00C664B9" w:rsidRDefault="00C664B9"/>
    <w:p w14:paraId="55B224BA" w14:textId="77777777" w:rsidR="00C664B9" w:rsidRDefault="00C664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A6542D" wp14:editId="69F81A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A2726" w14:textId="77777777" w:rsidR="00C664B9" w:rsidRDefault="00C664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654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8A2726" w14:textId="77777777" w:rsidR="00C664B9" w:rsidRDefault="00C664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37D50E" w14:textId="77777777" w:rsidR="00C664B9" w:rsidRDefault="00C664B9"/>
    <w:p w14:paraId="2EF539A0" w14:textId="77777777" w:rsidR="00C664B9" w:rsidRDefault="00C664B9"/>
    <w:p w14:paraId="10B08A2B" w14:textId="77777777" w:rsidR="00C664B9" w:rsidRDefault="00C664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30312D" wp14:editId="49DB80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7DF86" w14:textId="77777777" w:rsidR="00C664B9" w:rsidRDefault="00C664B9"/>
                          <w:p w14:paraId="0A3708E6" w14:textId="77777777" w:rsidR="00C664B9" w:rsidRDefault="00C664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031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A7DF86" w14:textId="77777777" w:rsidR="00C664B9" w:rsidRDefault="00C664B9"/>
                    <w:p w14:paraId="0A3708E6" w14:textId="77777777" w:rsidR="00C664B9" w:rsidRDefault="00C664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B13B55" w14:textId="77777777" w:rsidR="00C664B9" w:rsidRDefault="00C664B9"/>
    <w:p w14:paraId="2D3E100F" w14:textId="77777777" w:rsidR="00C664B9" w:rsidRDefault="00C664B9">
      <w:pPr>
        <w:rPr>
          <w:sz w:val="2"/>
          <w:szCs w:val="2"/>
        </w:rPr>
      </w:pPr>
    </w:p>
    <w:p w14:paraId="40FAE3AB" w14:textId="77777777" w:rsidR="00C664B9" w:rsidRDefault="00C664B9"/>
    <w:p w14:paraId="73FCF740" w14:textId="77777777" w:rsidR="00C664B9" w:rsidRDefault="00C664B9">
      <w:pPr>
        <w:spacing w:after="0" w:line="240" w:lineRule="auto"/>
      </w:pPr>
    </w:p>
  </w:footnote>
  <w:footnote w:type="continuationSeparator" w:id="0">
    <w:p w14:paraId="2B300BDB" w14:textId="77777777" w:rsidR="00C664B9" w:rsidRDefault="00C6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B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64982</TotalTime>
  <Pages>3</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1566</cp:revision>
  <cp:lastPrinted>2009-02-06T05:36:00Z</cp:lastPrinted>
  <dcterms:created xsi:type="dcterms:W3CDTF">2024-01-07T13:43:00Z</dcterms:created>
  <dcterms:modified xsi:type="dcterms:W3CDTF">2025-04-08T19:07:00Z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