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98E83" w14:textId="77777777" w:rsidR="00897961" w:rsidRDefault="00897961" w:rsidP="0089796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Юдин, Иван Павлович.</w:t>
      </w:r>
      <w:r>
        <w:rPr>
          <w:rFonts w:ascii="Helvetica" w:hAnsi="Helvetica" w:cs="Helvetica"/>
          <w:color w:val="222222"/>
          <w:sz w:val="21"/>
          <w:szCs w:val="21"/>
        </w:rPr>
        <w:br/>
      </w:r>
      <w:r>
        <w:rPr>
          <w:rStyle w:val="js-item-maininfo"/>
          <w:rFonts w:ascii="Helvetica" w:hAnsi="Helvetica" w:cs="Helvetica"/>
          <w:b/>
          <w:bCs/>
          <w:color w:val="222222"/>
          <w:sz w:val="21"/>
          <w:szCs w:val="21"/>
        </w:rPr>
        <w:t>Формирование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магнитного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магнитной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структуры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сверхпроводящего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синхротрона</w:t>
      </w:r>
      <w:r>
        <w:rPr>
          <w:rStyle w:val="js-item-maininfo"/>
          <w:rFonts w:ascii="Helvetica" w:hAnsi="Helvetica" w:cs="Helvetica"/>
          <w:color w:val="222222"/>
          <w:sz w:val="21"/>
          <w:szCs w:val="21"/>
        </w:rPr>
        <w:t> : диссертация ... кандидата технических наук : 01.04.13. - Дубна, 1984. - 194 с. : ил.</w:t>
      </w:r>
      <w:r>
        <w:rPr>
          <w:rStyle w:val="search-descr"/>
          <w:rFonts w:ascii="Helvetica" w:hAnsi="Helvetica" w:cs="Helvetica"/>
          <w:color w:val="222222"/>
          <w:sz w:val="21"/>
          <w:szCs w:val="21"/>
        </w:rPr>
        <w:t>больше</w:t>
      </w:r>
    </w:p>
    <w:p w14:paraId="2E5CE213" w14:textId="77777777" w:rsidR="00897961" w:rsidRDefault="00897961" w:rsidP="0089796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C59CC5E" w14:textId="77777777" w:rsidR="00897961" w:rsidRDefault="00897961" w:rsidP="00897961">
      <w:pPr>
        <w:widowControl/>
        <w:numPr>
          <w:ilvl w:val="0"/>
          <w:numId w:val="3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5C020757" w14:textId="77777777" w:rsidR="00897961" w:rsidRDefault="00897961" w:rsidP="0089796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Глава П. Ф0РЖ1Р0ВАНИЕ ВЫСОКООДНОРОДНЫХ </w:t>
      </w:r>
      <w:r>
        <w:rPr>
          <w:rFonts w:ascii="Helvetica" w:hAnsi="Helvetica" w:cs="Helvetica"/>
          <w:b/>
          <w:bCs/>
          <w:color w:val="222222"/>
          <w:sz w:val="21"/>
          <w:szCs w:val="21"/>
        </w:rPr>
        <w:t>ПОЛИ</w:t>
      </w:r>
      <w:r>
        <w:rPr>
          <w:rFonts w:ascii="Helvetica" w:hAnsi="Helvetica" w:cs="Helvetica"/>
          <w:color w:val="222222"/>
          <w:sz w:val="21"/>
          <w:szCs w:val="21"/>
        </w:rPr>
        <w:t>'! СП СИНКРОТРОННЫХ МАГНИТОВ ПРИ ИНДУЩ^НХ О • 1,5 Т. . . ^ СПШ . . 37-48 38-41 41-42 § I. </w:t>
      </w:r>
      <w:r>
        <w:rPr>
          <w:rFonts w:ascii="Helvetica" w:hAnsi="Helvetica" w:cs="Helvetica"/>
          <w:b/>
          <w:bCs/>
          <w:color w:val="222222"/>
          <w:sz w:val="21"/>
          <w:szCs w:val="21"/>
        </w:rPr>
        <w:t>Формирование</w:t>
      </w:r>
      <w:r>
        <w:rPr>
          <w:rFonts w:ascii="Helvetica" w:hAnsi="Helvetica" w:cs="Helvetica"/>
          <w:color w:val="222222"/>
          <w:sz w:val="21"/>
          <w:szCs w:val="21"/>
        </w:rPr>
        <w:t> высокооднородного </w:t>
      </w:r>
      <w:r>
        <w:rPr>
          <w:rFonts w:ascii="Helvetica" w:hAnsi="Helvetica" w:cs="Helvetica"/>
          <w:b/>
          <w:bCs/>
          <w:color w:val="222222"/>
          <w:sz w:val="21"/>
          <w:szCs w:val="21"/>
        </w:rPr>
        <w:t>поля</w:t>
      </w:r>
      <w:r>
        <w:rPr>
          <w:rFonts w:ascii="Helvetica" w:hAnsi="Helvetica" w:cs="Helvetica"/>
          <w:color w:val="222222"/>
          <w:sz w:val="21"/>
          <w:szCs w:val="21"/>
        </w:rPr>
        <w:t> СП диполя регулярной </w:t>
      </w:r>
      <w:r>
        <w:rPr>
          <w:rFonts w:ascii="Helvetica" w:hAnsi="Helvetica" w:cs="Helvetica"/>
          <w:b/>
          <w:bCs/>
          <w:color w:val="222222"/>
          <w:sz w:val="21"/>
          <w:szCs w:val="21"/>
        </w:rPr>
        <w:t>структуры</w:t>
      </w:r>
      <w:r>
        <w:rPr>
          <w:rFonts w:ascii="Helvetica" w:hAnsi="Helvetica" w:cs="Helvetica"/>
          <w:color w:val="222222"/>
          <w:sz w:val="21"/>
          <w:szCs w:val="21"/>
        </w:rPr>
        <w:t> СП </w:t>
      </w:r>
      <w:r>
        <w:rPr>
          <w:rFonts w:ascii="Helvetica" w:hAnsi="Helvetica" w:cs="Helvetica"/>
          <w:b/>
          <w:bCs/>
          <w:color w:val="222222"/>
          <w:sz w:val="21"/>
          <w:szCs w:val="21"/>
        </w:rPr>
        <w:t>синхротрона</w:t>
      </w:r>
      <w:r>
        <w:rPr>
          <w:rFonts w:ascii="Helvetica" w:hAnsi="Helvetica" w:cs="Helvetica"/>
          <w:color w:val="222222"/>
          <w:sz w:val="21"/>
          <w:szCs w:val="21"/>
        </w:rPr>
        <w:t> § 2. Влияние допусков на однородность </w:t>
      </w:r>
      <w:r>
        <w:rPr>
          <w:rFonts w:ascii="Helvetica" w:hAnsi="Helvetica" w:cs="Helvetica"/>
          <w:b/>
          <w:bCs/>
          <w:color w:val="222222"/>
          <w:sz w:val="21"/>
          <w:szCs w:val="21"/>
        </w:rPr>
        <w:t>поля</w:t>
      </w:r>
      <w:r>
        <w:rPr>
          <w:rFonts w:ascii="Helvetica" w:hAnsi="Helvetica" w:cs="Helvetica"/>
          <w:color w:val="222222"/>
          <w:sz w:val="21"/>
          <w:szCs w:val="21"/>
        </w:rPr>
        <w:t> СП диполя § 3. </w:t>
      </w:r>
      <w:r>
        <w:rPr>
          <w:rFonts w:ascii="Helvetica" w:hAnsi="Helvetica" w:cs="Helvetica"/>
          <w:b/>
          <w:bCs/>
          <w:color w:val="222222"/>
          <w:sz w:val="21"/>
          <w:szCs w:val="21"/>
        </w:rPr>
        <w:t>Формирование</w:t>
      </w:r>
      <w:r>
        <w:rPr>
          <w:rFonts w:ascii="Helvetica" w:hAnsi="Helvetica" w:cs="Helvetica"/>
          <w:color w:val="222222"/>
          <w:sz w:val="21"/>
          <w:szCs w:val="21"/>
        </w:rPr>
        <w:t> высокооднородного по градиенту </w:t>
      </w:r>
      <w:r>
        <w:rPr>
          <w:rFonts w:ascii="Helvetica" w:hAnsi="Helvetica" w:cs="Helvetica"/>
          <w:b/>
          <w:bCs/>
          <w:color w:val="222222"/>
          <w:sz w:val="21"/>
          <w:szCs w:val="21"/>
        </w:rPr>
        <w:t>поля</w:t>
      </w:r>
      <w:r>
        <w:rPr>
          <w:rFonts w:ascii="Helvetica" w:hAnsi="Helvetica" w:cs="Helvetica"/>
          <w:color w:val="222222"/>
          <w:sz w:val="21"/>
          <w:szCs w:val="21"/>
        </w:rPr>
        <w:t> СП квадруполя регулярной </w:t>
      </w:r>
      <w:r>
        <w:rPr>
          <w:rFonts w:ascii="Helvetica" w:hAnsi="Helvetica" w:cs="Helvetica"/>
          <w:b/>
          <w:bCs/>
          <w:color w:val="222222"/>
          <w:sz w:val="21"/>
          <w:szCs w:val="21"/>
        </w:rPr>
        <w:t>структуры</w:t>
      </w:r>
      <w:r>
        <w:rPr>
          <w:rFonts w:ascii="Helvetica" w:hAnsi="Helvetica" w:cs="Helvetica"/>
          <w:color w:val="222222"/>
          <w:sz w:val="21"/>
          <w:szCs w:val="21"/>
        </w:rPr>
        <w:t> СП </w:t>
      </w:r>
      <w:r>
        <w:rPr>
          <w:rFonts w:ascii="Helvetica" w:hAnsi="Helvetica" w:cs="Helvetica"/>
          <w:b/>
          <w:bCs/>
          <w:color w:val="222222"/>
          <w:sz w:val="21"/>
          <w:szCs w:val="21"/>
        </w:rPr>
        <w:t>синхротрона</w:t>
      </w:r>
      <w:r>
        <w:rPr>
          <w:rFonts w:ascii="Helvetica" w:hAnsi="Helvetica" w:cs="Helvetica"/>
          <w:color w:val="222222"/>
          <w:sz w:val="21"/>
          <w:szCs w:val="21"/>
        </w:rPr>
        <w:t> СП квадруполя СШШ с экспершлентом 42-44 45-48 § 4....</w:t>
      </w:r>
    </w:p>
    <w:p w14:paraId="54E08299" w14:textId="77777777" w:rsidR="00897961" w:rsidRDefault="00897961" w:rsidP="00897961">
      <w:pPr>
        <w:widowControl/>
        <w:numPr>
          <w:ilvl w:val="0"/>
          <w:numId w:val="3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43FF1A4C" w14:textId="77777777" w:rsidR="00897961" w:rsidRDefault="00897961" w:rsidP="0089796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К1АГНИТН0Г0 П О Ш СП МАГНИТОВ ПИ1 ИЬЩЛ{ЩФ1Х POISSOA/ , ее возмокности § 2. Численные эксперименты по моделированию </w:t>
      </w:r>
      <w:r>
        <w:rPr>
          <w:rFonts w:ascii="Helvetica" w:hAnsi="Helvetica" w:cs="Helvetica"/>
          <w:b/>
          <w:bCs/>
          <w:color w:val="222222"/>
          <w:sz w:val="21"/>
          <w:szCs w:val="21"/>
        </w:rPr>
        <w:t>магнитного</w:t>
      </w:r>
      <w:r>
        <w:rPr>
          <w:rFonts w:ascii="Helvetica" w:hAnsi="Helvetica" w:cs="Helvetica"/>
          <w:color w:val="222222"/>
          <w:sz w:val="21"/>
          <w:szCs w:val="21"/>
        </w:rPr>
        <w:t> </w:t>
      </w:r>
      <w:r>
        <w:rPr>
          <w:rFonts w:ascii="Helvetica" w:hAnsi="Helvetica" w:cs="Helvetica"/>
          <w:b/>
          <w:bCs/>
          <w:color w:val="222222"/>
          <w:sz w:val="21"/>
          <w:szCs w:val="21"/>
        </w:rPr>
        <w:t>поля</w:t>
      </w:r>
      <w:r>
        <w:rPr>
          <w:rFonts w:ascii="Helvetica" w:hAnsi="Helvetica" w:cs="Helvetica"/>
          <w:color w:val="222222"/>
          <w:sz w:val="21"/>
          <w:szCs w:val="21"/>
        </w:rPr>
        <w:t> СП диполя § 3. Моделирование распределения </w:t>
      </w:r>
      <w:r>
        <w:rPr>
          <w:rFonts w:ascii="Helvetica" w:hAnsi="Helvetica" w:cs="Helvetica"/>
          <w:b/>
          <w:bCs/>
          <w:color w:val="222222"/>
          <w:sz w:val="21"/>
          <w:szCs w:val="21"/>
        </w:rPr>
        <w:t>магнитного</w:t>
      </w:r>
      <w:r>
        <w:rPr>
          <w:rFonts w:ascii="Helvetica" w:hAnsi="Helvetica" w:cs="Helvetica"/>
          <w:color w:val="222222"/>
          <w:sz w:val="21"/>
          <w:szCs w:val="21"/>
        </w:rPr>
        <w:t> </w:t>
      </w:r>
      <w:r>
        <w:rPr>
          <w:rFonts w:ascii="Helvetica" w:hAnsi="Helvetica" w:cs="Helvetica"/>
          <w:b/>
          <w:bCs/>
          <w:color w:val="222222"/>
          <w:sz w:val="21"/>
          <w:szCs w:val="21"/>
        </w:rPr>
        <w:t>поля</w:t>
      </w:r>
      <w:r>
        <w:rPr>
          <w:rFonts w:ascii="Helvetica" w:hAnsi="Helvetica" w:cs="Helvetica"/>
          <w:color w:val="222222"/>
          <w:sz w:val="21"/>
          <w:szCs w:val="21"/>
        </w:rPr>
        <w:t> СП квадруполя § 4. Перспективы использования магнитов с прямо</w:t>
      </w:r>
      <w:r>
        <w:rPr>
          <w:rFonts w:ascii="Helvetica" w:hAnsi="Helvetica" w:cs="Helvetica"/>
          <w:color w:val="222222"/>
          <w:sz w:val="21"/>
          <w:szCs w:val="21"/>
        </w:rPr>
        <w:softHyphen/>
        <w:t xml:space="preserve"> угольной апертурой для </w:t>
      </w:r>
      <w:r>
        <w:rPr>
          <w:rFonts w:ascii="Helvetica" w:hAnsi="Helvetica" w:cs="Helvetica"/>
          <w:b/>
          <w:bCs/>
          <w:color w:val="222222"/>
          <w:sz w:val="21"/>
          <w:szCs w:val="21"/>
        </w:rPr>
        <w:t>синхротронов</w:t>
      </w:r>
      <w:r>
        <w:rPr>
          <w:rFonts w:ascii="Helvetica" w:hAnsi="Helvetica" w:cs="Helvetica"/>
          <w:color w:val="222222"/>
          <w:sz w:val="21"/>
          <w:szCs w:val="21"/>
        </w:rPr>
        <w:t>. </w:t>
      </w:r>
      <w:r>
        <w:rPr>
          <w:rFonts w:ascii="Helvetica" w:hAnsi="Helvetica" w:cs="Helvetica"/>
          <w:b/>
          <w:bCs/>
          <w:color w:val="222222"/>
          <w:sz w:val="21"/>
          <w:szCs w:val="21"/>
        </w:rPr>
        <w:t>Формиро</w:t>
      </w:r>
      <w:r>
        <w:rPr>
          <w:rFonts w:ascii="Helvetica" w:hAnsi="Helvetica" w:cs="Helvetica"/>
          <w:b/>
          <w:bCs/>
          <w:color w:val="222222"/>
          <w:sz w:val="21"/>
          <w:szCs w:val="21"/>
        </w:rPr>
        <w:softHyphen/>
        <w:t xml:space="preserve"> вание</w:t>
      </w:r>
      <w:r>
        <w:rPr>
          <w:rFonts w:ascii="Helvetica" w:hAnsi="Helvetica" w:cs="Helvetica"/>
          <w:color w:val="222222"/>
          <w:sz w:val="21"/>
          <w:szCs w:val="21"/>
        </w:rPr>
        <w:t> высокооднородного </w:t>
      </w:r>
      <w:r>
        <w:rPr>
          <w:rFonts w:ascii="Helvetica" w:hAnsi="Helvetica" w:cs="Helvetica"/>
          <w:b/>
          <w:bCs/>
          <w:color w:val="222222"/>
          <w:sz w:val="21"/>
          <w:szCs w:val="21"/>
        </w:rPr>
        <w:t>магнитного</w:t>
      </w:r>
      <w:r>
        <w:rPr>
          <w:rFonts w:ascii="Helvetica" w:hAnsi="Helvetica" w:cs="Helvetica"/>
          <w:color w:val="222222"/>
          <w:sz w:val="21"/>
          <w:szCs w:val="21"/>
        </w:rPr>
        <w:t> </w:t>
      </w:r>
      <w:r>
        <w:rPr>
          <w:rFonts w:ascii="Helvetica" w:hAnsi="Helvetica" w:cs="Helvetica"/>
          <w:b/>
          <w:bCs/>
          <w:color w:val="222222"/>
          <w:sz w:val="21"/>
          <w:szCs w:val="21"/>
        </w:rPr>
        <w:t>поля</w:t>
      </w:r>
      <w:r>
        <w:rPr>
          <w:rFonts w:ascii="Helvetica" w:hAnsi="Helvetica" w:cs="Helvetica"/>
          <w:color w:val="222222"/>
          <w:sz w:val="21"/>
          <w:szCs w:val="21"/>
        </w:rPr>
        <w:t> СП диполя с железом Глава 17. ©IHAlvMKA ТЯЖЕЛЫК ИОНОВ В СВЕРХПРОВОдаЩЗМ </w:t>
      </w:r>
      <w:r>
        <w:rPr>
          <w:rFonts w:ascii="Helvetica" w:hAnsi="Helvetica" w:cs="Helvetica"/>
          <w:b/>
          <w:bCs/>
          <w:color w:val="222222"/>
          <w:sz w:val="21"/>
          <w:szCs w:val="21"/>
        </w:rPr>
        <w:t>СИНХРОТРОНЕ</w:t>
      </w:r>
      <w:r>
        <w:rPr>
          <w:rFonts w:ascii="Helvetica" w:hAnsi="Helvetica" w:cs="Helvetica"/>
          <w:color w:val="222222"/>
          <w:sz w:val="21"/>
          <w:szCs w:val="21"/>
        </w:rPr>
        <w:t> § I. Основные...</w:t>
      </w:r>
    </w:p>
    <w:p w14:paraId="2CA0B2F9" w14:textId="77777777" w:rsidR="00897961" w:rsidRDefault="00897961" w:rsidP="00897961">
      <w:pPr>
        <w:widowControl/>
        <w:numPr>
          <w:ilvl w:val="0"/>
          <w:numId w:val="3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120</w:t>
      </w:r>
    </w:p>
    <w:p w14:paraId="2BFEBA5F" w14:textId="77777777" w:rsidR="00897961" w:rsidRDefault="00897961" w:rsidP="0089796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 К Л Ю Ч Е Н И Е Настоящая диссертация посвящена проблеме </w:t>
      </w:r>
      <w:r>
        <w:rPr>
          <w:rFonts w:ascii="Helvetica" w:hAnsi="Helvetica" w:cs="Helvetica"/>
          <w:b/>
          <w:bCs/>
          <w:color w:val="222222"/>
          <w:sz w:val="21"/>
          <w:szCs w:val="21"/>
        </w:rPr>
        <w:t>формирования</w:t>
      </w:r>
      <w:r>
        <w:rPr>
          <w:rFonts w:ascii="Helvetica" w:hAnsi="Helvetica" w:cs="Helvetica"/>
          <w:color w:val="222222"/>
          <w:sz w:val="21"/>
          <w:szCs w:val="21"/>
        </w:rPr>
        <w:t> высоко</w:t>
      </w:r>
      <w:r>
        <w:rPr>
          <w:rFonts w:ascii="Helvetica" w:hAnsi="Helvetica" w:cs="Helvetica"/>
          <w:color w:val="222222"/>
          <w:sz w:val="21"/>
          <w:szCs w:val="21"/>
        </w:rPr>
        <w:softHyphen/>
        <w:t xml:space="preserve"> однородных </w:t>
      </w:r>
      <w:r>
        <w:rPr>
          <w:rFonts w:ascii="Helvetica" w:hAnsi="Helvetica" w:cs="Helvetica"/>
          <w:b/>
          <w:bCs/>
          <w:color w:val="222222"/>
          <w:sz w:val="21"/>
          <w:szCs w:val="21"/>
        </w:rPr>
        <w:t>магнитных</w:t>
      </w:r>
      <w:r>
        <w:rPr>
          <w:rFonts w:ascii="Helvetica" w:hAnsi="Helvetica" w:cs="Helvetica"/>
          <w:color w:val="222222"/>
          <w:sz w:val="21"/>
          <w:szCs w:val="21"/>
        </w:rPr>
        <w:t> полей в </w:t>
      </w:r>
      <w:r>
        <w:rPr>
          <w:rFonts w:ascii="Helvetica" w:hAnsi="Helvetica" w:cs="Helvetica"/>
          <w:b/>
          <w:bCs/>
          <w:color w:val="222222"/>
          <w:sz w:val="21"/>
          <w:szCs w:val="21"/>
        </w:rPr>
        <w:t>сверхпроводящих</w:t>
      </w:r>
      <w:r>
        <w:rPr>
          <w:rFonts w:ascii="Helvetica" w:hAnsi="Helvetica" w:cs="Helvetica"/>
          <w:color w:val="222222"/>
          <w:sz w:val="21"/>
          <w:szCs w:val="21"/>
        </w:rPr>
        <w:t> магнитах для </w:t>
      </w:r>
      <w:r>
        <w:rPr>
          <w:rFonts w:ascii="Helvetica" w:hAnsi="Helvetica" w:cs="Helvetica"/>
          <w:b/>
          <w:bCs/>
          <w:color w:val="222222"/>
          <w:sz w:val="21"/>
          <w:szCs w:val="21"/>
        </w:rPr>
        <w:t>синхро</w:t>
      </w:r>
      <w:r>
        <w:rPr>
          <w:rFonts w:ascii="Helvetica" w:hAnsi="Helvetica" w:cs="Helvetica"/>
          <w:b/>
          <w:bCs/>
          <w:color w:val="222222"/>
          <w:sz w:val="21"/>
          <w:szCs w:val="21"/>
        </w:rPr>
        <w:softHyphen/>
        <w:t xml:space="preserve"> тронов</w:t>
      </w:r>
      <w:r>
        <w:rPr>
          <w:rFonts w:ascii="Helvetica" w:hAnsi="Helvetica" w:cs="Helvetica"/>
          <w:color w:val="222222"/>
          <w:sz w:val="21"/>
          <w:szCs w:val="21"/>
        </w:rPr>
        <w:t> четвертого поколения и </w:t>
      </w:r>
      <w:r>
        <w:rPr>
          <w:rFonts w:ascii="Helvetica" w:hAnsi="Helvetica" w:cs="Helvetica"/>
          <w:b/>
          <w:bCs/>
          <w:color w:val="222222"/>
          <w:sz w:val="21"/>
          <w:szCs w:val="21"/>
        </w:rPr>
        <w:t>расчету</w:t>
      </w:r>
      <w:r>
        <w:rPr>
          <w:rFonts w:ascii="Helvetica" w:hAnsi="Helvetica" w:cs="Helvetica"/>
          <w:color w:val="222222"/>
          <w:sz w:val="21"/>
          <w:szCs w:val="21"/>
        </w:rPr>
        <w:t> </w:t>
      </w:r>
      <w:r>
        <w:rPr>
          <w:rFonts w:ascii="Helvetica" w:hAnsi="Helvetica" w:cs="Helvetica"/>
          <w:b/>
          <w:bCs/>
          <w:color w:val="222222"/>
          <w:sz w:val="21"/>
          <w:szCs w:val="21"/>
        </w:rPr>
        <w:t>магнитной</w:t>
      </w:r>
      <w:r>
        <w:rPr>
          <w:rFonts w:ascii="Helvetica" w:hAnsi="Helvetica" w:cs="Helvetica"/>
          <w:color w:val="222222"/>
          <w:sz w:val="21"/>
          <w:szCs w:val="21"/>
        </w:rPr>
        <w:t> </w:t>
      </w:r>
      <w:r>
        <w:rPr>
          <w:rFonts w:ascii="Helvetica" w:hAnsi="Helvetica" w:cs="Helvetica"/>
          <w:b/>
          <w:bCs/>
          <w:color w:val="222222"/>
          <w:sz w:val="21"/>
          <w:szCs w:val="21"/>
        </w:rPr>
        <w:t>структуры</w:t>
      </w:r>
      <w:r>
        <w:rPr>
          <w:rFonts w:ascii="Helvetica" w:hAnsi="Helvetica" w:cs="Helvetica"/>
          <w:color w:val="222222"/>
          <w:sz w:val="21"/>
          <w:szCs w:val="21"/>
        </w:rPr>
        <w:t> таких ускорителей. Проведенные исследования инициировалрюь проблемами, возншшвшими при проектировании</w:t>
      </w:r>
    </w:p>
    <w:p w14:paraId="6640A607" w14:textId="77777777" w:rsidR="00897961" w:rsidRDefault="00897961" w:rsidP="00897961">
      <w:pPr>
        <w:widowControl/>
        <w:numPr>
          <w:ilvl w:val="0"/>
          <w:numId w:val="39"/>
        </w:numPr>
        <w:suppressAutoHyphens w:val="0"/>
        <w:spacing w:before="100" w:beforeAutospacing="1" w:after="100" w:afterAutospacing="1" w:line="240" w:lineRule="auto"/>
        <w:jc w:val="left"/>
        <w:rPr>
          <w:rFonts w:ascii="Helvetica" w:hAnsi="Helvetica" w:cs="Helvetica"/>
          <w:color w:val="222222"/>
          <w:sz w:val="21"/>
          <w:szCs w:val="21"/>
        </w:rPr>
      </w:pPr>
    </w:p>
    <w:p w14:paraId="592E3A60" w14:textId="77777777" w:rsidR="00897961" w:rsidRDefault="00897961" w:rsidP="0089796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Юдин, Иван Павлович</w:t>
      </w:r>
    </w:p>
    <w:p w14:paraId="5D825AED"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ВВЕДЕНИЕ.5</w:t>
      </w:r>
    </w:p>
    <w:p w14:paraId="6CE71F12"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МЕТОДИКА РАСЧЕТОВ МАГНИТНОГО ПОЛЯ СВЕРХПРОВОДЯЩИХ (СП) МАГНИТОВ, ИМЕЮЩИХ ПРЯМОУГОЛЬНУЮ</w:t>
      </w:r>
    </w:p>
    <w:p w14:paraId="799FE1BB"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АПЕРТУРУ.13</w:t>
      </w:r>
    </w:p>
    <w:p w14:paraId="05A3CE3B"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Современные программные реализации методов расчета магнитного поля .14</w:t>
      </w:r>
    </w:p>
    <w:p w14:paraId="782B5451"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Развитие метода отраженных токов (МОТ) для расчета магнитного поля в магнитах, имеющих прямоугольную апертуру.23</w:t>
      </w:r>
    </w:p>
    <w:p w14:paraId="314EB20B"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Метод гармонического анализа (МГА) магнитного поля .28</w:t>
      </w:r>
    </w:p>
    <w:p w14:paraId="33112B56"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Программа MIC2 расчета двумерного магнитостатического поля.31</w:t>
      </w:r>
    </w:p>
    <w:p w14:paraId="34B845D4"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 Метод компенсации высших гармоник как решение обратной задачи магнитостатики .34</w:t>
      </w:r>
    </w:p>
    <w:p w14:paraId="1C5BA9B7"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ФОРМИРОВАНИЕ ВЫСОКООДНОРОДНЫХ ПОЛЕЙ СП СИНХРО</w:t>
      </w:r>
    </w:p>
    <w:p w14:paraId="038A80D7"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ТРОННЫХ МАГНИТОВ ПРИ ИНДУКЦИЯХ О * 1,5 Т. . . 37</w:t>
      </w:r>
    </w:p>
    <w:p w14:paraId="737D63C9"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Формирование высокооднородного поля СП диполя регулярной структуры СП синхротрона СПИН . . 38</w:t>
      </w:r>
    </w:p>
    <w:p w14:paraId="2C6A1241"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Влияние допусков на однородность поля СП диполя 41</w:t>
      </w:r>
    </w:p>
    <w:p w14:paraId="7C4B0161"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Формирование высокооднородного по градиенту поля СП квадруполя регулярной структуры</w:t>
      </w:r>
    </w:p>
    <w:p w14:paraId="6480E829"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 синхротрона СПИН.42</w:t>
      </w:r>
    </w:p>
    <w:p w14:paraId="40576BE6"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Сравнение результатов расчета СП диполя и</w:t>
      </w:r>
    </w:p>
    <w:p w14:paraId="74D32BD2"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 квадруполя с экспериментом.45</w:t>
      </w:r>
    </w:p>
    <w:p w14:paraId="64450C40"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ЧИСЛЕННОЕ МОДЕЛИРОВАНИЕ ДВУМЕРНОГО МАГНИТНОГО</w:t>
      </w:r>
    </w:p>
    <w:p w14:paraId="47F3E1EB"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ПОЛЯ СП МАГНИТОВ ПРИ ИНДУКЦИЯХ 1,5 + 3 Т. . . . 49</w:t>
      </w:r>
    </w:p>
    <w:p w14:paraId="722ED912"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Программа расчета магнитостатических полей</w:t>
      </w:r>
    </w:p>
    <w:p w14:paraId="0A4A8C8A"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POISSOA/ , ее возможности.49</w:t>
      </w:r>
    </w:p>
    <w:p w14:paraId="68FE4D7E"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Численные эксперименты по моделированию магнитного поля СП диполя.52</w:t>
      </w:r>
    </w:p>
    <w:p w14:paraId="7EEFBFEC"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Моделирование распределения магнитного поля</w:t>
      </w:r>
    </w:p>
    <w:p w14:paraId="4EA2C92E"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 квадруполя. . 57</w:t>
      </w:r>
    </w:p>
    <w:p w14:paraId="560CBAB5"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Перспективы использования магнитов с прямоугольной апертурой для синхротронов. Формирование высокооднородного магнитного поля 3 Т СП диполя с железом.61</w:t>
      </w:r>
    </w:p>
    <w:p w14:paraId="41639928"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ДИНАМИКА ТЯЖЕЛЫХ! ИОНОВ В СВЕРКНРОВОДЯЩЕМ</w:t>
      </w:r>
    </w:p>
    <w:p w14:paraId="24F7607C"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СИНХРОТРОНЕ.66</w:t>
      </w:r>
    </w:p>
    <w:p w14:paraId="413D3D6E"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уравнения движения тяжелых ионов в магнитном поле. Формулы для программной реализации.66</w:t>
      </w:r>
    </w:p>
    <w:p w14:paraId="656A6A45"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Магнитная структура и параметры модельного</w:t>
      </w:r>
    </w:p>
    <w:p w14:paraId="3E7BB395"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 синхротрона СПИН.76</w:t>
      </w:r>
    </w:p>
    <w:p w14:paraId="2AA51ECA"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Исследование характеристик пучка ионов в канале инжекции СП синхротрона СПИН.80</w:t>
      </w:r>
    </w:p>
    <w:p w14:paraId="1B9B060C"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Исследование бетатронного движения в кольце</w:t>
      </w:r>
    </w:p>
    <w:p w14:paraId="2543CBF5"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 синхротрона СПИН.88</w:t>
      </w:r>
    </w:p>
    <w:p w14:paraId="34F4486D"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Расчет допусков на параметры элементов магнитной оптики согласованного промежутка</w:t>
      </w:r>
    </w:p>
    <w:p w14:paraId="1A8B4FF2"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 синхротрона СПИН.91</w:t>
      </w:r>
    </w:p>
    <w:p w14:paraId="6D86C24A"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Алгоритмы учета нелинейностей поля при транспортировки пучка заряженных частиц.96</w:t>
      </w:r>
    </w:p>
    <w:p w14:paraId="65D886BE"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ПРОБЛЕМ СОГЛАСОВАНИЯ ФАЗОВЫХ ОБЪЕМОВ ПУЧКА</w:t>
      </w:r>
    </w:p>
    <w:p w14:paraId="3EB61C96"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ТЯЖЕЛЫХ ИОНОВ В КАНАЛАХ ТРАНСПОРТИРОВКИ . . . I00-II</w:t>
      </w:r>
    </w:p>
    <w:p w14:paraId="6B73801B"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Формулировка проблемы согласования фазовых объемов пучка .100</w:t>
      </w:r>
    </w:p>
    <w:p w14:paraId="49066EF0"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Согласование фазовых объемов транспортируемого пучка заряженных частиц дублетом магнитных линз.102</w:t>
      </w:r>
    </w:p>
    <w:p w14:paraId="16DAD305"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Согласование прямолинейного промежутка</w:t>
      </w:r>
    </w:p>
    <w:p w14:paraId="63DE1485"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 синхротрона СПИН (согласование двумя зеркально симметричными триплетами линз) . I07-II</w:t>
      </w:r>
    </w:p>
    <w:p w14:paraId="59C62AE0" w14:textId="77777777" w:rsidR="00897961" w:rsidRDefault="00897961" w:rsidP="008979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Нелинейное согласование прямолинейного промежутка СП синхротрона СПИН .II4-II</w:t>
      </w:r>
    </w:p>
    <w:p w14:paraId="651B8BC6" w14:textId="77777777" w:rsidR="006E41EF" w:rsidRPr="00897961" w:rsidRDefault="006E41EF" w:rsidP="00897961"/>
    <w:sectPr w:rsidR="006E41EF" w:rsidRPr="0089796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DF141" w14:textId="77777777" w:rsidR="00CF3883" w:rsidRDefault="00CF3883">
      <w:pPr>
        <w:spacing w:after="0" w:line="240" w:lineRule="auto"/>
      </w:pPr>
      <w:r>
        <w:separator/>
      </w:r>
    </w:p>
  </w:endnote>
  <w:endnote w:type="continuationSeparator" w:id="0">
    <w:p w14:paraId="0207D1B4" w14:textId="77777777" w:rsidR="00CF3883" w:rsidRDefault="00CF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A9E73" w14:textId="77777777" w:rsidR="00CF3883" w:rsidRDefault="00CF3883"/>
    <w:p w14:paraId="60AD4883" w14:textId="77777777" w:rsidR="00CF3883" w:rsidRDefault="00CF3883"/>
    <w:p w14:paraId="72C3C645" w14:textId="77777777" w:rsidR="00CF3883" w:rsidRDefault="00CF3883"/>
    <w:p w14:paraId="5B9A3F7F" w14:textId="77777777" w:rsidR="00CF3883" w:rsidRDefault="00CF3883"/>
    <w:p w14:paraId="4782E3D9" w14:textId="77777777" w:rsidR="00CF3883" w:rsidRDefault="00CF3883"/>
    <w:p w14:paraId="036BC737" w14:textId="77777777" w:rsidR="00CF3883" w:rsidRDefault="00CF3883"/>
    <w:p w14:paraId="58C6321D" w14:textId="77777777" w:rsidR="00CF3883" w:rsidRDefault="00CF38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9EF21D" wp14:editId="6ABAEF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A7BDA" w14:textId="77777777" w:rsidR="00CF3883" w:rsidRDefault="00CF38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9EF2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AA7BDA" w14:textId="77777777" w:rsidR="00CF3883" w:rsidRDefault="00CF38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7D7806" w14:textId="77777777" w:rsidR="00CF3883" w:rsidRDefault="00CF3883"/>
    <w:p w14:paraId="567250D3" w14:textId="77777777" w:rsidR="00CF3883" w:rsidRDefault="00CF3883"/>
    <w:p w14:paraId="7A9395E6" w14:textId="77777777" w:rsidR="00CF3883" w:rsidRDefault="00CF38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856DE3" wp14:editId="39D559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7F504" w14:textId="77777777" w:rsidR="00CF3883" w:rsidRDefault="00CF3883"/>
                          <w:p w14:paraId="2DFF9C15" w14:textId="77777777" w:rsidR="00CF3883" w:rsidRDefault="00CF38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856D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77F504" w14:textId="77777777" w:rsidR="00CF3883" w:rsidRDefault="00CF3883"/>
                    <w:p w14:paraId="2DFF9C15" w14:textId="77777777" w:rsidR="00CF3883" w:rsidRDefault="00CF38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EAA44D" w14:textId="77777777" w:rsidR="00CF3883" w:rsidRDefault="00CF3883"/>
    <w:p w14:paraId="66ADC84E" w14:textId="77777777" w:rsidR="00CF3883" w:rsidRDefault="00CF3883">
      <w:pPr>
        <w:rPr>
          <w:sz w:val="2"/>
          <w:szCs w:val="2"/>
        </w:rPr>
      </w:pPr>
    </w:p>
    <w:p w14:paraId="33EA4A3A" w14:textId="77777777" w:rsidR="00CF3883" w:rsidRDefault="00CF3883"/>
    <w:p w14:paraId="3E2E7082" w14:textId="77777777" w:rsidR="00CF3883" w:rsidRDefault="00CF3883">
      <w:pPr>
        <w:spacing w:after="0" w:line="240" w:lineRule="auto"/>
      </w:pPr>
    </w:p>
  </w:footnote>
  <w:footnote w:type="continuationSeparator" w:id="0">
    <w:p w14:paraId="4BCA026A" w14:textId="77777777" w:rsidR="00CF3883" w:rsidRDefault="00CF3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BC5372F"/>
    <w:multiLevelType w:val="multilevel"/>
    <w:tmpl w:val="785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42F020B"/>
    <w:multiLevelType w:val="multilevel"/>
    <w:tmpl w:val="29FC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873C76"/>
    <w:multiLevelType w:val="multilevel"/>
    <w:tmpl w:val="66C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DC18A5"/>
    <w:multiLevelType w:val="multilevel"/>
    <w:tmpl w:val="4C3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92B1C80"/>
    <w:multiLevelType w:val="multilevel"/>
    <w:tmpl w:val="3CA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3"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9721014"/>
    <w:multiLevelType w:val="multilevel"/>
    <w:tmpl w:val="FFE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575F4D"/>
    <w:multiLevelType w:val="multilevel"/>
    <w:tmpl w:val="AC1A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362C27"/>
    <w:multiLevelType w:val="multilevel"/>
    <w:tmpl w:val="42CA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85C3F26"/>
    <w:multiLevelType w:val="multilevel"/>
    <w:tmpl w:val="ACF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6" w15:restartNumberingAfterBreak="0">
    <w:nsid w:val="59294EEA"/>
    <w:multiLevelType w:val="multilevel"/>
    <w:tmpl w:val="423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FC547BE"/>
    <w:multiLevelType w:val="multilevel"/>
    <w:tmpl w:val="192E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3"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5"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8330375"/>
    <w:multiLevelType w:val="multilevel"/>
    <w:tmpl w:val="7C3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8"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3"/>
  </w:num>
  <w:num w:numId="6">
    <w:abstractNumId w:val="113"/>
  </w:num>
  <w:num w:numId="7">
    <w:abstractNumId w:val="84"/>
  </w:num>
  <w:num w:numId="8">
    <w:abstractNumId w:val="109"/>
  </w:num>
  <w:num w:numId="9">
    <w:abstractNumId w:val="86"/>
  </w:num>
  <w:num w:numId="10">
    <w:abstractNumId w:val="77"/>
  </w:num>
  <w:num w:numId="11">
    <w:abstractNumId w:val="96"/>
  </w:num>
  <w:num w:numId="12">
    <w:abstractNumId w:val="102"/>
  </w:num>
  <w:num w:numId="13">
    <w:abstractNumId w:val="118"/>
  </w:num>
  <w:num w:numId="14">
    <w:abstractNumId w:val="110"/>
  </w:num>
  <w:num w:numId="15">
    <w:abstractNumId w:val="99"/>
  </w:num>
  <w:num w:numId="16">
    <w:abstractNumId w:val="95"/>
  </w:num>
  <w:num w:numId="17">
    <w:abstractNumId w:val="87"/>
  </w:num>
  <w:num w:numId="18">
    <w:abstractNumId w:val="80"/>
  </w:num>
  <w:num w:numId="19">
    <w:abstractNumId w:val="104"/>
  </w:num>
  <w:num w:numId="20">
    <w:abstractNumId w:val="107"/>
  </w:num>
  <w:num w:numId="21">
    <w:abstractNumId w:val="115"/>
  </w:num>
  <w:num w:numId="22">
    <w:abstractNumId w:val="89"/>
  </w:num>
  <w:num w:numId="23">
    <w:abstractNumId w:val="103"/>
  </w:num>
  <w:num w:numId="24">
    <w:abstractNumId w:val="111"/>
  </w:num>
  <w:num w:numId="25">
    <w:abstractNumId w:val="83"/>
  </w:num>
  <w:num w:numId="26">
    <w:abstractNumId w:val="101"/>
  </w:num>
  <w:num w:numId="27">
    <w:abstractNumId w:val="64"/>
  </w:num>
  <w:num w:numId="28">
    <w:abstractNumId w:val="91"/>
  </w:num>
  <w:num w:numId="29">
    <w:abstractNumId w:val="88"/>
  </w:num>
  <w:num w:numId="30">
    <w:abstractNumId w:val="85"/>
  </w:num>
  <w:num w:numId="31">
    <w:abstractNumId w:val="97"/>
  </w:num>
  <w:num w:numId="32">
    <w:abstractNumId w:val="108"/>
  </w:num>
  <w:num w:numId="33">
    <w:abstractNumId w:val="106"/>
  </w:num>
  <w:num w:numId="34">
    <w:abstractNumId w:val="76"/>
  </w:num>
  <w:num w:numId="35">
    <w:abstractNumId w:val="100"/>
  </w:num>
  <w:num w:numId="36">
    <w:abstractNumId w:val="94"/>
  </w:num>
  <w:num w:numId="37">
    <w:abstractNumId w:val="98"/>
  </w:num>
  <w:num w:numId="38">
    <w:abstractNumId w:val="82"/>
  </w:num>
  <w:num w:numId="39">
    <w:abstractNumId w:val="1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88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176084</TotalTime>
  <Pages>3</Pages>
  <Words>609</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5709</cp:revision>
  <cp:lastPrinted>2009-02-06T05:36:00Z</cp:lastPrinted>
  <dcterms:created xsi:type="dcterms:W3CDTF">2024-01-07T13:43:00Z</dcterms:created>
  <dcterms:modified xsi:type="dcterms:W3CDTF">2025-10-03T05:59:00Z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