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A16F0" w14:textId="00088B0A" w:rsidR="00670968" w:rsidRPr="005E449D" w:rsidRDefault="005E449D" w:rsidP="005E449D">
      <w:r>
        <w:rPr>
          <w:rFonts w:ascii="Verdana" w:hAnsi="Verdana"/>
          <w:b/>
          <w:bCs/>
          <w:color w:val="000000"/>
          <w:shd w:val="clear" w:color="auto" w:fill="FFFFFF"/>
        </w:rPr>
        <w:t>Бобришев Костянтин Анатолійович. Патогенетична значущість, клінічна оцінка, медикаментозна корекція сольової реактивності у хворих на есенціальну артеріальну гіпертензію.- Дисертація д-ра мед. наук: 14.01.11, Донец. нац. мед. ун-т ім. М. Горького МОЗ України. - Донецьк, 2012.- 320 с.</w:t>
      </w:r>
    </w:p>
    <w:sectPr w:rsidR="00670968" w:rsidRPr="005E449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BB1AA" w14:textId="77777777" w:rsidR="00CC05DC" w:rsidRDefault="00CC05DC">
      <w:pPr>
        <w:spacing w:after="0" w:line="240" w:lineRule="auto"/>
      </w:pPr>
      <w:r>
        <w:separator/>
      </w:r>
    </w:p>
  </w:endnote>
  <w:endnote w:type="continuationSeparator" w:id="0">
    <w:p w14:paraId="7432884A" w14:textId="77777777" w:rsidR="00CC05DC" w:rsidRDefault="00CC0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BA92D" w14:textId="77777777" w:rsidR="00CC05DC" w:rsidRDefault="00CC05DC">
      <w:pPr>
        <w:spacing w:after="0" w:line="240" w:lineRule="auto"/>
      </w:pPr>
      <w:r>
        <w:separator/>
      </w:r>
    </w:p>
  </w:footnote>
  <w:footnote w:type="continuationSeparator" w:id="0">
    <w:p w14:paraId="72A622E3" w14:textId="77777777" w:rsidR="00CC05DC" w:rsidRDefault="00CC0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C05D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4FEE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5DC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4E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120984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4259</cp:revision>
  <dcterms:created xsi:type="dcterms:W3CDTF">2024-06-20T08:51:00Z</dcterms:created>
  <dcterms:modified xsi:type="dcterms:W3CDTF">2025-01-18T12:09:00Z</dcterms:modified>
  <cp:category/>
</cp:coreProperties>
</file>