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15EEC" w14:textId="77777777" w:rsidR="006829C9" w:rsidRPr="006829C9" w:rsidRDefault="006829C9" w:rsidP="006829C9">
      <w:pPr>
        <w:rPr>
          <w:rFonts w:ascii="Helvetica" w:eastAsia="Symbol" w:hAnsi="Helvetica" w:cs="Helvetica"/>
          <w:b/>
          <w:bCs/>
          <w:color w:val="222222"/>
          <w:kern w:val="0"/>
          <w:sz w:val="21"/>
          <w:szCs w:val="21"/>
          <w:lang w:eastAsia="ru-RU"/>
        </w:rPr>
      </w:pPr>
      <w:r w:rsidRPr="006829C9">
        <w:rPr>
          <w:rFonts w:ascii="Helvetica" w:eastAsia="Symbol" w:hAnsi="Helvetica" w:cs="Helvetica"/>
          <w:b/>
          <w:bCs/>
          <w:color w:val="222222"/>
          <w:kern w:val="0"/>
          <w:sz w:val="21"/>
          <w:szCs w:val="21"/>
          <w:lang w:eastAsia="ru-RU"/>
        </w:rPr>
        <w:t>Бородин, Владимир Алексеевич.</w:t>
      </w:r>
    </w:p>
    <w:p w14:paraId="68035302" w14:textId="77777777" w:rsidR="006829C9" w:rsidRPr="006829C9" w:rsidRDefault="006829C9" w:rsidP="006829C9">
      <w:pPr>
        <w:rPr>
          <w:rFonts w:ascii="Helvetica" w:eastAsia="Symbol" w:hAnsi="Helvetica" w:cs="Helvetica"/>
          <w:b/>
          <w:bCs/>
          <w:color w:val="222222"/>
          <w:kern w:val="0"/>
          <w:sz w:val="21"/>
          <w:szCs w:val="21"/>
          <w:lang w:eastAsia="ru-RU"/>
        </w:rPr>
      </w:pPr>
      <w:r w:rsidRPr="006829C9">
        <w:rPr>
          <w:rFonts w:ascii="Helvetica" w:eastAsia="Symbol" w:hAnsi="Helvetica" w:cs="Helvetica"/>
          <w:b/>
          <w:bCs/>
          <w:color w:val="222222"/>
          <w:kern w:val="0"/>
          <w:sz w:val="21"/>
          <w:szCs w:val="21"/>
          <w:lang w:eastAsia="ru-RU"/>
        </w:rPr>
        <w:t xml:space="preserve">Обобщенная кинетическая теория и ее применение для исследования микроструктурной эволюции в твердых </w:t>
      </w:r>
      <w:proofErr w:type="gramStart"/>
      <w:r w:rsidRPr="006829C9">
        <w:rPr>
          <w:rFonts w:ascii="Helvetica" w:eastAsia="Symbol" w:hAnsi="Helvetica" w:cs="Helvetica"/>
          <w:b/>
          <w:bCs/>
          <w:color w:val="222222"/>
          <w:kern w:val="0"/>
          <w:sz w:val="21"/>
          <w:szCs w:val="21"/>
          <w:lang w:eastAsia="ru-RU"/>
        </w:rPr>
        <w:t>телах :</w:t>
      </w:r>
      <w:proofErr w:type="gramEnd"/>
      <w:r w:rsidRPr="006829C9">
        <w:rPr>
          <w:rFonts w:ascii="Helvetica" w:eastAsia="Symbol" w:hAnsi="Helvetica" w:cs="Helvetica"/>
          <w:b/>
          <w:bCs/>
          <w:color w:val="222222"/>
          <w:kern w:val="0"/>
          <w:sz w:val="21"/>
          <w:szCs w:val="21"/>
          <w:lang w:eastAsia="ru-RU"/>
        </w:rPr>
        <w:t xml:space="preserve"> диссертация ... доктора физико-математических наук : 01.04.07. - Москва, 2000. - 266 </w:t>
      </w:r>
      <w:proofErr w:type="gramStart"/>
      <w:r w:rsidRPr="006829C9">
        <w:rPr>
          <w:rFonts w:ascii="Helvetica" w:eastAsia="Symbol" w:hAnsi="Helvetica" w:cs="Helvetica"/>
          <w:b/>
          <w:bCs/>
          <w:color w:val="222222"/>
          <w:kern w:val="0"/>
          <w:sz w:val="21"/>
          <w:szCs w:val="21"/>
          <w:lang w:eastAsia="ru-RU"/>
        </w:rPr>
        <w:t>с. :</w:t>
      </w:r>
      <w:proofErr w:type="gramEnd"/>
      <w:r w:rsidRPr="006829C9">
        <w:rPr>
          <w:rFonts w:ascii="Helvetica" w:eastAsia="Symbol" w:hAnsi="Helvetica" w:cs="Helvetica"/>
          <w:b/>
          <w:bCs/>
          <w:color w:val="222222"/>
          <w:kern w:val="0"/>
          <w:sz w:val="21"/>
          <w:szCs w:val="21"/>
          <w:lang w:eastAsia="ru-RU"/>
        </w:rPr>
        <w:t xml:space="preserve"> ил.</w:t>
      </w:r>
    </w:p>
    <w:p w14:paraId="6294544F" w14:textId="77777777" w:rsidR="006829C9" w:rsidRPr="006829C9" w:rsidRDefault="006829C9" w:rsidP="006829C9">
      <w:pPr>
        <w:rPr>
          <w:rFonts w:ascii="Helvetica" w:eastAsia="Symbol" w:hAnsi="Helvetica" w:cs="Helvetica"/>
          <w:b/>
          <w:bCs/>
          <w:color w:val="222222"/>
          <w:kern w:val="0"/>
          <w:sz w:val="21"/>
          <w:szCs w:val="21"/>
          <w:lang w:eastAsia="ru-RU"/>
        </w:rPr>
      </w:pPr>
      <w:r w:rsidRPr="006829C9">
        <w:rPr>
          <w:rFonts w:ascii="Helvetica" w:eastAsia="Symbol" w:hAnsi="Helvetica" w:cs="Helvetica"/>
          <w:b/>
          <w:bCs/>
          <w:color w:val="222222"/>
          <w:kern w:val="0"/>
          <w:sz w:val="21"/>
          <w:szCs w:val="21"/>
          <w:lang w:eastAsia="ru-RU"/>
        </w:rPr>
        <w:t>Оглавление диссертациидоктор физико-математических наук Бородин, Владимир Алексеевич</w:t>
      </w:r>
    </w:p>
    <w:p w14:paraId="6F7339B5" w14:textId="77777777" w:rsidR="006829C9" w:rsidRPr="006829C9" w:rsidRDefault="006829C9" w:rsidP="006829C9">
      <w:pPr>
        <w:rPr>
          <w:rFonts w:ascii="Helvetica" w:eastAsia="Symbol" w:hAnsi="Helvetica" w:cs="Helvetica"/>
          <w:b/>
          <w:bCs/>
          <w:color w:val="222222"/>
          <w:kern w:val="0"/>
          <w:sz w:val="21"/>
          <w:szCs w:val="21"/>
          <w:lang w:eastAsia="ru-RU"/>
        </w:rPr>
      </w:pPr>
      <w:r w:rsidRPr="006829C9">
        <w:rPr>
          <w:rFonts w:ascii="Helvetica" w:eastAsia="Symbol" w:hAnsi="Helvetica" w:cs="Helvetica"/>
          <w:b/>
          <w:bCs/>
          <w:color w:val="222222"/>
          <w:kern w:val="0"/>
          <w:sz w:val="21"/>
          <w:szCs w:val="21"/>
          <w:lang w:eastAsia="ru-RU"/>
        </w:rPr>
        <w:t>Введение</w:t>
      </w:r>
    </w:p>
    <w:p w14:paraId="3279BAE2" w14:textId="77777777" w:rsidR="006829C9" w:rsidRPr="006829C9" w:rsidRDefault="006829C9" w:rsidP="006829C9">
      <w:pPr>
        <w:rPr>
          <w:rFonts w:ascii="Helvetica" w:eastAsia="Symbol" w:hAnsi="Helvetica" w:cs="Helvetica"/>
          <w:b/>
          <w:bCs/>
          <w:color w:val="222222"/>
          <w:kern w:val="0"/>
          <w:sz w:val="21"/>
          <w:szCs w:val="21"/>
          <w:lang w:eastAsia="ru-RU"/>
        </w:rPr>
      </w:pPr>
      <w:r w:rsidRPr="006829C9">
        <w:rPr>
          <w:rFonts w:ascii="Helvetica" w:eastAsia="Symbol" w:hAnsi="Helvetica" w:cs="Helvetica"/>
          <w:b/>
          <w:bCs/>
          <w:color w:val="222222"/>
          <w:kern w:val="0"/>
          <w:sz w:val="21"/>
          <w:szCs w:val="21"/>
          <w:lang w:eastAsia="ru-RU"/>
        </w:rPr>
        <w:t>1 Состояние проблемы</w:t>
      </w:r>
    </w:p>
    <w:p w14:paraId="030339C3" w14:textId="77777777" w:rsidR="006829C9" w:rsidRPr="006829C9" w:rsidRDefault="006829C9" w:rsidP="006829C9">
      <w:pPr>
        <w:rPr>
          <w:rFonts w:ascii="Helvetica" w:eastAsia="Symbol" w:hAnsi="Helvetica" w:cs="Helvetica"/>
          <w:b/>
          <w:bCs/>
          <w:color w:val="222222"/>
          <w:kern w:val="0"/>
          <w:sz w:val="21"/>
          <w:szCs w:val="21"/>
          <w:lang w:eastAsia="ru-RU"/>
        </w:rPr>
      </w:pPr>
      <w:r w:rsidRPr="006829C9">
        <w:rPr>
          <w:rFonts w:ascii="Helvetica" w:eastAsia="Symbol" w:hAnsi="Helvetica" w:cs="Helvetica"/>
          <w:b/>
          <w:bCs/>
          <w:color w:val="222222"/>
          <w:kern w:val="0"/>
          <w:sz w:val="21"/>
          <w:szCs w:val="21"/>
          <w:lang w:eastAsia="ru-RU"/>
        </w:rPr>
        <w:t>1.1 Обоснование кинетической теории.</w:t>
      </w:r>
    </w:p>
    <w:p w14:paraId="2DCB9029" w14:textId="77777777" w:rsidR="006829C9" w:rsidRPr="006829C9" w:rsidRDefault="006829C9" w:rsidP="006829C9">
      <w:pPr>
        <w:rPr>
          <w:rFonts w:ascii="Helvetica" w:eastAsia="Symbol" w:hAnsi="Helvetica" w:cs="Helvetica"/>
          <w:b/>
          <w:bCs/>
          <w:color w:val="222222"/>
          <w:kern w:val="0"/>
          <w:sz w:val="21"/>
          <w:szCs w:val="21"/>
          <w:lang w:eastAsia="ru-RU"/>
        </w:rPr>
      </w:pPr>
      <w:r w:rsidRPr="006829C9">
        <w:rPr>
          <w:rFonts w:ascii="Helvetica" w:eastAsia="Symbol" w:hAnsi="Helvetica" w:cs="Helvetica"/>
          <w:b/>
          <w:bCs/>
          <w:color w:val="222222"/>
          <w:kern w:val="0"/>
          <w:sz w:val="21"/>
          <w:szCs w:val="21"/>
          <w:lang w:eastAsia="ru-RU"/>
        </w:rPr>
        <w:t>1.1.1 Модель ячеек</w:t>
      </w:r>
    </w:p>
    <w:p w14:paraId="75662FB6" w14:textId="77777777" w:rsidR="006829C9" w:rsidRPr="006829C9" w:rsidRDefault="006829C9" w:rsidP="006829C9">
      <w:pPr>
        <w:rPr>
          <w:rFonts w:ascii="Helvetica" w:eastAsia="Symbol" w:hAnsi="Helvetica" w:cs="Helvetica"/>
          <w:b/>
          <w:bCs/>
          <w:color w:val="222222"/>
          <w:kern w:val="0"/>
          <w:sz w:val="21"/>
          <w:szCs w:val="21"/>
          <w:lang w:eastAsia="ru-RU"/>
        </w:rPr>
      </w:pPr>
      <w:r w:rsidRPr="006829C9">
        <w:rPr>
          <w:rFonts w:ascii="Helvetica" w:eastAsia="Symbol" w:hAnsi="Helvetica" w:cs="Helvetica"/>
          <w:b/>
          <w:bCs/>
          <w:color w:val="222222"/>
          <w:kern w:val="0"/>
          <w:sz w:val="21"/>
          <w:szCs w:val="21"/>
          <w:lang w:eastAsia="ru-RU"/>
        </w:rPr>
        <w:t>1.1.2 Модель эффективной среды.</w:t>
      </w:r>
    </w:p>
    <w:p w14:paraId="6C416083" w14:textId="77777777" w:rsidR="006829C9" w:rsidRPr="006829C9" w:rsidRDefault="006829C9" w:rsidP="006829C9">
      <w:pPr>
        <w:rPr>
          <w:rFonts w:ascii="Helvetica" w:eastAsia="Symbol" w:hAnsi="Helvetica" w:cs="Helvetica"/>
          <w:b/>
          <w:bCs/>
          <w:color w:val="222222"/>
          <w:kern w:val="0"/>
          <w:sz w:val="21"/>
          <w:szCs w:val="21"/>
          <w:lang w:eastAsia="ru-RU"/>
        </w:rPr>
      </w:pPr>
      <w:r w:rsidRPr="006829C9">
        <w:rPr>
          <w:rFonts w:ascii="Helvetica" w:eastAsia="Symbol" w:hAnsi="Helvetica" w:cs="Helvetica"/>
          <w:b/>
          <w:bCs/>
          <w:color w:val="222222"/>
          <w:kern w:val="0"/>
          <w:sz w:val="21"/>
          <w:szCs w:val="21"/>
          <w:lang w:eastAsia="ru-RU"/>
        </w:rPr>
        <w:t>1.1.3 Альтернативная формулировка для ансамбля сферических частиц.</w:t>
      </w:r>
    </w:p>
    <w:p w14:paraId="2320641F" w14:textId="77777777" w:rsidR="006829C9" w:rsidRPr="006829C9" w:rsidRDefault="006829C9" w:rsidP="006829C9">
      <w:pPr>
        <w:rPr>
          <w:rFonts w:ascii="Helvetica" w:eastAsia="Symbol" w:hAnsi="Helvetica" w:cs="Helvetica"/>
          <w:b/>
          <w:bCs/>
          <w:color w:val="222222"/>
          <w:kern w:val="0"/>
          <w:sz w:val="21"/>
          <w:szCs w:val="21"/>
          <w:lang w:eastAsia="ru-RU"/>
        </w:rPr>
      </w:pPr>
      <w:r w:rsidRPr="006829C9">
        <w:rPr>
          <w:rFonts w:ascii="Helvetica" w:eastAsia="Symbol" w:hAnsi="Helvetica" w:cs="Helvetica"/>
          <w:b/>
          <w:bCs/>
          <w:color w:val="222222"/>
          <w:kern w:val="0"/>
          <w:sz w:val="21"/>
          <w:szCs w:val="21"/>
          <w:lang w:eastAsia="ru-RU"/>
        </w:rPr>
        <w:t>1.2 Влияние кристаллической структуры на эффективность поглощения точечных дефектов стоками</w:t>
      </w:r>
    </w:p>
    <w:p w14:paraId="2CADCDB5" w14:textId="77777777" w:rsidR="006829C9" w:rsidRPr="006829C9" w:rsidRDefault="006829C9" w:rsidP="006829C9">
      <w:pPr>
        <w:rPr>
          <w:rFonts w:ascii="Helvetica" w:eastAsia="Symbol" w:hAnsi="Helvetica" w:cs="Helvetica"/>
          <w:b/>
          <w:bCs/>
          <w:color w:val="222222"/>
          <w:kern w:val="0"/>
          <w:sz w:val="21"/>
          <w:szCs w:val="21"/>
          <w:lang w:eastAsia="ru-RU"/>
        </w:rPr>
      </w:pPr>
      <w:r w:rsidRPr="006829C9">
        <w:rPr>
          <w:rFonts w:ascii="Helvetica" w:eastAsia="Symbol" w:hAnsi="Helvetica" w:cs="Helvetica"/>
          <w:b/>
          <w:bCs/>
          <w:color w:val="222222"/>
          <w:kern w:val="0"/>
          <w:sz w:val="21"/>
          <w:szCs w:val="21"/>
          <w:lang w:eastAsia="ru-RU"/>
        </w:rPr>
        <w:t>1.3 Возможности применения обобщенной кинетической теории для прикладных задач.</w:t>
      </w:r>
    </w:p>
    <w:p w14:paraId="22B9676E" w14:textId="77777777" w:rsidR="006829C9" w:rsidRPr="006829C9" w:rsidRDefault="006829C9" w:rsidP="006829C9">
      <w:pPr>
        <w:rPr>
          <w:rFonts w:ascii="Helvetica" w:eastAsia="Symbol" w:hAnsi="Helvetica" w:cs="Helvetica"/>
          <w:b/>
          <w:bCs/>
          <w:color w:val="222222"/>
          <w:kern w:val="0"/>
          <w:sz w:val="21"/>
          <w:szCs w:val="21"/>
          <w:lang w:eastAsia="ru-RU"/>
        </w:rPr>
      </w:pPr>
      <w:r w:rsidRPr="006829C9">
        <w:rPr>
          <w:rFonts w:ascii="Helvetica" w:eastAsia="Symbol" w:hAnsi="Helvetica" w:cs="Helvetica"/>
          <w:b/>
          <w:bCs/>
          <w:color w:val="222222"/>
          <w:kern w:val="0"/>
          <w:sz w:val="21"/>
          <w:szCs w:val="21"/>
          <w:lang w:eastAsia="ru-RU"/>
        </w:rPr>
        <w:t>1.3.1 Самоорганизация в пространственно-неоднородных системах выделений</w:t>
      </w:r>
    </w:p>
    <w:p w14:paraId="3DC1B629" w14:textId="77777777" w:rsidR="006829C9" w:rsidRPr="006829C9" w:rsidRDefault="006829C9" w:rsidP="006829C9">
      <w:pPr>
        <w:rPr>
          <w:rFonts w:ascii="Helvetica" w:eastAsia="Symbol" w:hAnsi="Helvetica" w:cs="Helvetica"/>
          <w:b/>
          <w:bCs/>
          <w:color w:val="222222"/>
          <w:kern w:val="0"/>
          <w:sz w:val="21"/>
          <w:szCs w:val="21"/>
          <w:lang w:eastAsia="ru-RU"/>
        </w:rPr>
      </w:pPr>
      <w:r w:rsidRPr="006829C9">
        <w:rPr>
          <w:rFonts w:ascii="Helvetica" w:eastAsia="Symbol" w:hAnsi="Helvetica" w:cs="Helvetica"/>
          <w:b/>
          <w:bCs/>
          <w:color w:val="222222"/>
          <w:kern w:val="0"/>
          <w:sz w:val="21"/>
          <w:szCs w:val="21"/>
          <w:lang w:eastAsia="ru-RU"/>
        </w:rPr>
        <w:t>1.3.2 Эволюция квазиодномерных ансамблей нанокластеров при отжиге имплантированных пленок в химически активной среде.</w:t>
      </w:r>
    </w:p>
    <w:p w14:paraId="4B761C82" w14:textId="77777777" w:rsidR="006829C9" w:rsidRPr="006829C9" w:rsidRDefault="006829C9" w:rsidP="006829C9">
      <w:pPr>
        <w:rPr>
          <w:rFonts w:ascii="Helvetica" w:eastAsia="Symbol" w:hAnsi="Helvetica" w:cs="Helvetica"/>
          <w:b/>
          <w:bCs/>
          <w:color w:val="222222"/>
          <w:kern w:val="0"/>
          <w:sz w:val="21"/>
          <w:szCs w:val="21"/>
          <w:lang w:eastAsia="ru-RU"/>
        </w:rPr>
      </w:pPr>
      <w:r w:rsidRPr="006829C9">
        <w:rPr>
          <w:rFonts w:ascii="Helvetica" w:eastAsia="Symbol" w:hAnsi="Helvetica" w:cs="Helvetica"/>
          <w:b/>
          <w:bCs/>
          <w:color w:val="222222"/>
          <w:kern w:val="0"/>
          <w:sz w:val="21"/>
          <w:szCs w:val="21"/>
          <w:lang w:eastAsia="ru-RU"/>
        </w:rPr>
        <w:t>1.3.3 Кинетика ансамбля дислокационных петель в облучаемых металлах</w:t>
      </w:r>
    </w:p>
    <w:p w14:paraId="0D308A5C" w14:textId="77777777" w:rsidR="006829C9" w:rsidRPr="006829C9" w:rsidRDefault="006829C9" w:rsidP="006829C9">
      <w:pPr>
        <w:rPr>
          <w:rFonts w:ascii="Helvetica" w:eastAsia="Symbol" w:hAnsi="Helvetica" w:cs="Helvetica"/>
          <w:b/>
          <w:bCs/>
          <w:color w:val="222222"/>
          <w:kern w:val="0"/>
          <w:sz w:val="21"/>
          <w:szCs w:val="21"/>
          <w:lang w:eastAsia="ru-RU"/>
        </w:rPr>
      </w:pPr>
      <w:r w:rsidRPr="006829C9">
        <w:rPr>
          <w:rFonts w:ascii="Helvetica" w:eastAsia="Symbol" w:hAnsi="Helvetica" w:cs="Helvetica"/>
          <w:b/>
          <w:bCs/>
          <w:color w:val="222222"/>
          <w:kern w:val="0"/>
          <w:sz w:val="21"/>
          <w:szCs w:val="21"/>
          <w:lang w:eastAsia="ru-RU"/>
        </w:rPr>
        <w:t>1.3.4 Одномерная диффузия малых межузельных кластеров при каскадообразующем облучении в металлах.</w:t>
      </w:r>
    </w:p>
    <w:p w14:paraId="1A38AAD0" w14:textId="77777777" w:rsidR="006829C9" w:rsidRPr="006829C9" w:rsidRDefault="006829C9" w:rsidP="006829C9">
      <w:pPr>
        <w:rPr>
          <w:rFonts w:ascii="Helvetica" w:eastAsia="Symbol" w:hAnsi="Helvetica" w:cs="Helvetica"/>
          <w:b/>
          <w:bCs/>
          <w:color w:val="222222"/>
          <w:kern w:val="0"/>
          <w:sz w:val="21"/>
          <w:szCs w:val="21"/>
          <w:lang w:eastAsia="ru-RU"/>
        </w:rPr>
      </w:pPr>
      <w:r w:rsidRPr="006829C9">
        <w:rPr>
          <w:rFonts w:ascii="Helvetica" w:eastAsia="Symbol" w:hAnsi="Helvetica" w:cs="Helvetica"/>
          <w:b/>
          <w:bCs/>
          <w:color w:val="222222"/>
          <w:kern w:val="0"/>
          <w:sz w:val="21"/>
          <w:szCs w:val="21"/>
          <w:lang w:eastAsia="ru-RU"/>
        </w:rPr>
        <w:t>2 Основы пространственно-неоднородной кинетической теории</w:t>
      </w:r>
    </w:p>
    <w:p w14:paraId="0AFDBAAB" w14:textId="77777777" w:rsidR="006829C9" w:rsidRPr="006829C9" w:rsidRDefault="006829C9" w:rsidP="006829C9">
      <w:pPr>
        <w:rPr>
          <w:rFonts w:ascii="Helvetica" w:eastAsia="Symbol" w:hAnsi="Helvetica" w:cs="Helvetica"/>
          <w:b/>
          <w:bCs/>
          <w:color w:val="222222"/>
          <w:kern w:val="0"/>
          <w:sz w:val="21"/>
          <w:szCs w:val="21"/>
          <w:lang w:eastAsia="ru-RU"/>
        </w:rPr>
      </w:pPr>
      <w:r w:rsidRPr="006829C9">
        <w:rPr>
          <w:rFonts w:ascii="Helvetica" w:eastAsia="Symbol" w:hAnsi="Helvetica" w:cs="Helvetica"/>
          <w:b/>
          <w:bCs/>
          <w:color w:val="222222"/>
          <w:kern w:val="0"/>
          <w:sz w:val="21"/>
          <w:szCs w:val="21"/>
          <w:lang w:eastAsia="ru-RU"/>
        </w:rPr>
        <w:t>2.1 Основные соотношения.</w:t>
      </w:r>
    </w:p>
    <w:p w14:paraId="42EEE213" w14:textId="77777777" w:rsidR="006829C9" w:rsidRPr="006829C9" w:rsidRDefault="006829C9" w:rsidP="006829C9">
      <w:pPr>
        <w:rPr>
          <w:rFonts w:ascii="Helvetica" w:eastAsia="Symbol" w:hAnsi="Helvetica" w:cs="Helvetica"/>
          <w:b/>
          <w:bCs/>
          <w:color w:val="222222"/>
          <w:kern w:val="0"/>
          <w:sz w:val="21"/>
          <w:szCs w:val="21"/>
          <w:lang w:eastAsia="ru-RU"/>
        </w:rPr>
      </w:pPr>
      <w:r w:rsidRPr="006829C9">
        <w:rPr>
          <w:rFonts w:ascii="Helvetica" w:eastAsia="Symbol" w:hAnsi="Helvetica" w:cs="Helvetica"/>
          <w:b/>
          <w:bCs/>
          <w:color w:val="222222"/>
          <w:kern w:val="0"/>
          <w:sz w:val="21"/>
          <w:szCs w:val="21"/>
          <w:lang w:eastAsia="ru-RU"/>
        </w:rPr>
        <w:t>2.1.1 Система стоков.</w:t>
      </w:r>
    </w:p>
    <w:p w14:paraId="6163D655" w14:textId="77777777" w:rsidR="006829C9" w:rsidRPr="006829C9" w:rsidRDefault="006829C9" w:rsidP="006829C9">
      <w:pPr>
        <w:rPr>
          <w:rFonts w:ascii="Helvetica" w:eastAsia="Symbol" w:hAnsi="Helvetica" w:cs="Helvetica"/>
          <w:b/>
          <w:bCs/>
          <w:color w:val="222222"/>
          <w:kern w:val="0"/>
          <w:sz w:val="21"/>
          <w:szCs w:val="21"/>
          <w:lang w:eastAsia="ru-RU"/>
        </w:rPr>
      </w:pPr>
      <w:r w:rsidRPr="006829C9">
        <w:rPr>
          <w:rFonts w:ascii="Helvetica" w:eastAsia="Symbol" w:hAnsi="Helvetica" w:cs="Helvetica"/>
          <w:b/>
          <w:bCs/>
          <w:color w:val="222222"/>
          <w:kern w:val="0"/>
          <w:sz w:val="21"/>
          <w:szCs w:val="21"/>
          <w:lang w:eastAsia="ru-RU"/>
        </w:rPr>
        <w:t>2.1.2 Уравнения диффузии и граничные условия.</w:t>
      </w:r>
    </w:p>
    <w:p w14:paraId="4E225624" w14:textId="77777777" w:rsidR="006829C9" w:rsidRPr="006829C9" w:rsidRDefault="006829C9" w:rsidP="006829C9">
      <w:pPr>
        <w:rPr>
          <w:rFonts w:ascii="Helvetica" w:eastAsia="Symbol" w:hAnsi="Helvetica" w:cs="Helvetica"/>
          <w:b/>
          <w:bCs/>
          <w:color w:val="222222"/>
          <w:kern w:val="0"/>
          <w:sz w:val="21"/>
          <w:szCs w:val="21"/>
          <w:lang w:eastAsia="ru-RU"/>
        </w:rPr>
      </w:pPr>
      <w:r w:rsidRPr="006829C9">
        <w:rPr>
          <w:rFonts w:ascii="Helvetica" w:eastAsia="Symbol" w:hAnsi="Helvetica" w:cs="Helvetica"/>
          <w:b/>
          <w:bCs/>
          <w:color w:val="222222"/>
          <w:kern w:val="0"/>
          <w:sz w:val="21"/>
          <w:szCs w:val="21"/>
          <w:lang w:eastAsia="ru-RU"/>
        </w:rPr>
        <w:t>2.1.3 Статистическое описание диффузионной задачи</w:t>
      </w:r>
    </w:p>
    <w:p w14:paraId="164F8610" w14:textId="77777777" w:rsidR="006829C9" w:rsidRPr="006829C9" w:rsidRDefault="006829C9" w:rsidP="006829C9">
      <w:pPr>
        <w:rPr>
          <w:rFonts w:ascii="Helvetica" w:eastAsia="Symbol" w:hAnsi="Helvetica" w:cs="Helvetica"/>
          <w:b/>
          <w:bCs/>
          <w:color w:val="222222"/>
          <w:kern w:val="0"/>
          <w:sz w:val="21"/>
          <w:szCs w:val="21"/>
          <w:lang w:eastAsia="ru-RU"/>
        </w:rPr>
      </w:pPr>
      <w:r w:rsidRPr="006829C9">
        <w:rPr>
          <w:rFonts w:ascii="Helvetica" w:eastAsia="Symbol" w:hAnsi="Helvetica" w:cs="Helvetica"/>
          <w:b/>
          <w:bCs/>
          <w:color w:val="222222"/>
          <w:kern w:val="0"/>
          <w:sz w:val="21"/>
          <w:szCs w:val="21"/>
          <w:lang w:eastAsia="ru-RU"/>
        </w:rPr>
        <w:t>2.1.4 Иерархия кинетических уравнений первого порядка.</w:t>
      </w:r>
    </w:p>
    <w:p w14:paraId="03D6C545" w14:textId="77777777" w:rsidR="006829C9" w:rsidRPr="006829C9" w:rsidRDefault="006829C9" w:rsidP="006829C9">
      <w:pPr>
        <w:rPr>
          <w:rFonts w:ascii="Helvetica" w:eastAsia="Symbol" w:hAnsi="Helvetica" w:cs="Helvetica"/>
          <w:b/>
          <w:bCs/>
          <w:color w:val="222222"/>
          <w:kern w:val="0"/>
          <w:sz w:val="21"/>
          <w:szCs w:val="21"/>
          <w:lang w:eastAsia="ru-RU"/>
        </w:rPr>
      </w:pPr>
      <w:r w:rsidRPr="006829C9">
        <w:rPr>
          <w:rFonts w:ascii="Helvetica" w:eastAsia="Symbol" w:hAnsi="Helvetica" w:cs="Helvetica"/>
          <w:b/>
          <w:bCs/>
          <w:color w:val="222222"/>
          <w:kern w:val="0"/>
          <w:sz w:val="21"/>
          <w:szCs w:val="21"/>
          <w:lang w:eastAsia="ru-RU"/>
        </w:rPr>
        <w:t>2.1.5 Концепция мощностей стоков.</w:t>
      </w:r>
    </w:p>
    <w:p w14:paraId="615A970B" w14:textId="77777777" w:rsidR="006829C9" w:rsidRPr="006829C9" w:rsidRDefault="006829C9" w:rsidP="006829C9">
      <w:pPr>
        <w:rPr>
          <w:rFonts w:ascii="Helvetica" w:eastAsia="Symbol" w:hAnsi="Helvetica" w:cs="Helvetica"/>
          <w:b/>
          <w:bCs/>
          <w:color w:val="222222"/>
          <w:kern w:val="0"/>
          <w:sz w:val="21"/>
          <w:szCs w:val="21"/>
          <w:lang w:eastAsia="ru-RU"/>
        </w:rPr>
      </w:pPr>
      <w:r w:rsidRPr="006829C9">
        <w:rPr>
          <w:rFonts w:ascii="Helvetica" w:eastAsia="Symbol" w:hAnsi="Helvetica" w:cs="Helvetica"/>
          <w:b/>
          <w:bCs/>
          <w:color w:val="222222"/>
          <w:kern w:val="0"/>
          <w:sz w:val="21"/>
          <w:szCs w:val="21"/>
          <w:lang w:eastAsia="ru-RU"/>
        </w:rPr>
        <w:t>2.1.6 Классы стоков.</w:t>
      </w:r>
    </w:p>
    <w:p w14:paraId="6B617CED" w14:textId="77777777" w:rsidR="006829C9" w:rsidRPr="006829C9" w:rsidRDefault="006829C9" w:rsidP="006829C9">
      <w:pPr>
        <w:rPr>
          <w:rFonts w:ascii="Helvetica" w:eastAsia="Symbol" w:hAnsi="Helvetica" w:cs="Helvetica"/>
          <w:b/>
          <w:bCs/>
          <w:color w:val="222222"/>
          <w:kern w:val="0"/>
          <w:sz w:val="21"/>
          <w:szCs w:val="21"/>
          <w:lang w:eastAsia="ru-RU"/>
        </w:rPr>
      </w:pPr>
      <w:r w:rsidRPr="006829C9">
        <w:rPr>
          <w:rFonts w:ascii="Helvetica" w:eastAsia="Symbol" w:hAnsi="Helvetica" w:cs="Helvetica"/>
          <w:b/>
          <w:bCs/>
          <w:color w:val="222222"/>
          <w:kern w:val="0"/>
          <w:sz w:val="21"/>
          <w:szCs w:val="21"/>
          <w:lang w:eastAsia="ru-RU"/>
        </w:rPr>
        <w:t>2.2 Поправки высших порядков к мощности стоков.</w:t>
      </w:r>
    </w:p>
    <w:p w14:paraId="16027A93" w14:textId="77777777" w:rsidR="006829C9" w:rsidRPr="006829C9" w:rsidRDefault="006829C9" w:rsidP="006829C9">
      <w:pPr>
        <w:rPr>
          <w:rFonts w:ascii="Helvetica" w:eastAsia="Symbol" w:hAnsi="Helvetica" w:cs="Helvetica"/>
          <w:b/>
          <w:bCs/>
          <w:color w:val="222222"/>
          <w:kern w:val="0"/>
          <w:sz w:val="21"/>
          <w:szCs w:val="21"/>
          <w:lang w:eastAsia="ru-RU"/>
        </w:rPr>
      </w:pPr>
      <w:r w:rsidRPr="006829C9">
        <w:rPr>
          <w:rFonts w:ascii="Helvetica" w:eastAsia="Symbol" w:hAnsi="Helvetica" w:cs="Helvetica"/>
          <w:b/>
          <w:bCs/>
          <w:color w:val="222222"/>
          <w:kern w:val="0"/>
          <w:sz w:val="21"/>
          <w:szCs w:val="21"/>
          <w:lang w:eastAsia="ru-RU"/>
        </w:rPr>
        <w:t>2.2.1 Статистическое обоснование аддитивного приближения.</w:t>
      </w:r>
    </w:p>
    <w:p w14:paraId="78251139" w14:textId="77777777" w:rsidR="006829C9" w:rsidRPr="006829C9" w:rsidRDefault="006829C9" w:rsidP="006829C9">
      <w:pPr>
        <w:rPr>
          <w:rFonts w:ascii="Helvetica" w:eastAsia="Symbol" w:hAnsi="Helvetica" w:cs="Helvetica"/>
          <w:b/>
          <w:bCs/>
          <w:color w:val="222222"/>
          <w:kern w:val="0"/>
          <w:sz w:val="21"/>
          <w:szCs w:val="21"/>
          <w:lang w:eastAsia="ru-RU"/>
        </w:rPr>
      </w:pPr>
      <w:r w:rsidRPr="006829C9">
        <w:rPr>
          <w:rFonts w:ascii="Helvetica" w:eastAsia="Symbol" w:hAnsi="Helvetica" w:cs="Helvetica"/>
          <w:b/>
          <w:bCs/>
          <w:color w:val="222222"/>
          <w:kern w:val="0"/>
          <w:sz w:val="21"/>
          <w:szCs w:val="21"/>
          <w:lang w:eastAsia="ru-RU"/>
        </w:rPr>
        <w:t>2.2.2 Иерархия второго порядка для кинетических уравнений.</w:t>
      </w:r>
    </w:p>
    <w:p w14:paraId="41129DE9" w14:textId="77777777" w:rsidR="006829C9" w:rsidRPr="006829C9" w:rsidRDefault="006829C9" w:rsidP="006829C9">
      <w:pPr>
        <w:rPr>
          <w:rFonts w:ascii="Helvetica" w:eastAsia="Symbol" w:hAnsi="Helvetica" w:cs="Helvetica"/>
          <w:b/>
          <w:bCs/>
          <w:color w:val="222222"/>
          <w:kern w:val="0"/>
          <w:sz w:val="21"/>
          <w:szCs w:val="21"/>
          <w:lang w:eastAsia="ru-RU"/>
        </w:rPr>
      </w:pPr>
      <w:r w:rsidRPr="006829C9">
        <w:rPr>
          <w:rFonts w:ascii="Helvetica" w:eastAsia="Symbol" w:hAnsi="Helvetica" w:cs="Helvetica"/>
          <w:b/>
          <w:bCs/>
          <w:color w:val="222222"/>
          <w:kern w:val="0"/>
          <w:sz w:val="21"/>
          <w:szCs w:val="21"/>
          <w:lang w:eastAsia="ru-RU"/>
        </w:rPr>
        <w:t>2.2.3 Аддитивное приближение "бесконечного порядка".</w:t>
      </w:r>
    </w:p>
    <w:p w14:paraId="0240C432" w14:textId="77777777" w:rsidR="006829C9" w:rsidRPr="006829C9" w:rsidRDefault="006829C9" w:rsidP="006829C9">
      <w:pPr>
        <w:rPr>
          <w:rFonts w:ascii="Helvetica" w:eastAsia="Symbol" w:hAnsi="Helvetica" w:cs="Helvetica"/>
          <w:b/>
          <w:bCs/>
          <w:color w:val="222222"/>
          <w:kern w:val="0"/>
          <w:sz w:val="21"/>
          <w:szCs w:val="21"/>
          <w:lang w:eastAsia="ru-RU"/>
        </w:rPr>
      </w:pPr>
      <w:r w:rsidRPr="006829C9">
        <w:rPr>
          <w:rFonts w:ascii="Helvetica" w:eastAsia="Symbol" w:hAnsi="Helvetica" w:cs="Helvetica"/>
          <w:b/>
          <w:bCs/>
          <w:color w:val="222222"/>
          <w:kern w:val="0"/>
          <w:sz w:val="21"/>
          <w:szCs w:val="21"/>
          <w:lang w:eastAsia="ru-RU"/>
        </w:rPr>
        <w:lastRenderedPageBreak/>
        <w:t>2.2.4 Сопоставление аддитивного и мультипликативного приближений</w:t>
      </w:r>
    </w:p>
    <w:p w14:paraId="09B36FC2" w14:textId="77777777" w:rsidR="006829C9" w:rsidRPr="006829C9" w:rsidRDefault="006829C9" w:rsidP="006829C9">
      <w:pPr>
        <w:rPr>
          <w:rFonts w:ascii="Helvetica" w:eastAsia="Symbol" w:hAnsi="Helvetica" w:cs="Helvetica"/>
          <w:b/>
          <w:bCs/>
          <w:color w:val="222222"/>
          <w:kern w:val="0"/>
          <w:sz w:val="21"/>
          <w:szCs w:val="21"/>
          <w:lang w:eastAsia="ru-RU"/>
        </w:rPr>
      </w:pPr>
      <w:r w:rsidRPr="006829C9">
        <w:rPr>
          <w:rFonts w:ascii="Helvetica" w:eastAsia="Symbol" w:hAnsi="Helvetica" w:cs="Helvetica"/>
          <w:b/>
          <w:bCs/>
          <w:color w:val="222222"/>
          <w:kern w:val="0"/>
          <w:sz w:val="21"/>
          <w:szCs w:val="21"/>
          <w:lang w:eastAsia="ru-RU"/>
        </w:rPr>
        <w:t>2.3 Корреляция с предшествующими обоснованиями кинетической теории</w:t>
      </w:r>
    </w:p>
    <w:p w14:paraId="43D324CB" w14:textId="77777777" w:rsidR="006829C9" w:rsidRPr="006829C9" w:rsidRDefault="006829C9" w:rsidP="006829C9">
      <w:pPr>
        <w:rPr>
          <w:rFonts w:ascii="Helvetica" w:eastAsia="Symbol" w:hAnsi="Helvetica" w:cs="Helvetica"/>
          <w:b/>
          <w:bCs/>
          <w:color w:val="222222"/>
          <w:kern w:val="0"/>
          <w:sz w:val="21"/>
          <w:szCs w:val="21"/>
          <w:lang w:eastAsia="ru-RU"/>
        </w:rPr>
      </w:pPr>
      <w:r w:rsidRPr="006829C9">
        <w:rPr>
          <w:rFonts w:ascii="Helvetica" w:eastAsia="Symbol" w:hAnsi="Helvetica" w:cs="Helvetica"/>
          <w:b/>
          <w:bCs/>
          <w:color w:val="222222"/>
          <w:kern w:val="0"/>
          <w:sz w:val="21"/>
          <w:szCs w:val="21"/>
          <w:lang w:eastAsia="ru-RU"/>
        </w:rPr>
        <w:t>2.4 Выводы по главе 2.</w:t>
      </w:r>
    </w:p>
    <w:p w14:paraId="16375CE0" w14:textId="77777777" w:rsidR="006829C9" w:rsidRPr="006829C9" w:rsidRDefault="006829C9" w:rsidP="006829C9">
      <w:pPr>
        <w:rPr>
          <w:rFonts w:ascii="Helvetica" w:eastAsia="Symbol" w:hAnsi="Helvetica" w:cs="Helvetica"/>
          <w:b/>
          <w:bCs/>
          <w:color w:val="222222"/>
          <w:kern w:val="0"/>
          <w:sz w:val="21"/>
          <w:szCs w:val="21"/>
          <w:lang w:eastAsia="ru-RU"/>
        </w:rPr>
      </w:pPr>
      <w:r w:rsidRPr="006829C9">
        <w:rPr>
          <w:rFonts w:ascii="Helvetica" w:eastAsia="Symbol" w:hAnsi="Helvetica" w:cs="Helvetica"/>
          <w:b/>
          <w:bCs/>
          <w:color w:val="222222"/>
          <w:kern w:val="0"/>
          <w:sz w:val="21"/>
          <w:szCs w:val="21"/>
          <w:lang w:eastAsia="ru-RU"/>
        </w:rPr>
        <w:t>3 Специальные случаи и обобщения</w:t>
      </w:r>
    </w:p>
    <w:p w14:paraId="64F2BF76" w14:textId="77777777" w:rsidR="006829C9" w:rsidRPr="006829C9" w:rsidRDefault="006829C9" w:rsidP="006829C9">
      <w:pPr>
        <w:rPr>
          <w:rFonts w:ascii="Helvetica" w:eastAsia="Symbol" w:hAnsi="Helvetica" w:cs="Helvetica"/>
          <w:b/>
          <w:bCs/>
          <w:color w:val="222222"/>
          <w:kern w:val="0"/>
          <w:sz w:val="21"/>
          <w:szCs w:val="21"/>
          <w:lang w:eastAsia="ru-RU"/>
        </w:rPr>
      </w:pPr>
      <w:r w:rsidRPr="006829C9">
        <w:rPr>
          <w:rFonts w:ascii="Helvetica" w:eastAsia="Symbol" w:hAnsi="Helvetica" w:cs="Helvetica"/>
          <w:b/>
          <w:bCs/>
          <w:color w:val="222222"/>
          <w:kern w:val="0"/>
          <w:sz w:val="21"/>
          <w:szCs w:val="21"/>
          <w:lang w:eastAsia="ru-RU"/>
        </w:rPr>
        <w:t>3.1 Линейные стоки.</w:t>
      </w:r>
    </w:p>
    <w:p w14:paraId="4FA7F3A6" w14:textId="77777777" w:rsidR="006829C9" w:rsidRPr="006829C9" w:rsidRDefault="006829C9" w:rsidP="006829C9">
      <w:pPr>
        <w:rPr>
          <w:rFonts w:ascii="Helvetica" w:eastAsia="Symbol" w:hAnsi="Helvetica" w:cs="Helvetica"/>
          <w:b/>
          <w:bCs/>
          <w:color w:val="222222"/>
          <w:kern w:val="0"/>
          <w:sz w:val="21"/>
          <w:szCs w:val="21"/>
          <w:lang w:eastAsia="ru-RU"/>
        </w:rPr>
      </w:pPr>
      <w:r w:rsidRPr="006829C9">
        <w:rPr>
          <w:rFonts w:ascii="Helvetica" w:eastAsia="Symbol" w:hAnsi="Helvetica" w:cs="Helvetica"/>
          <w:b/>
          <w:bCs/>
          <w:color w:val="222222"/>
          <w:kern w:val="0"/>
          <w:sz w:val="21"/>
          <w:szCs w:val="21"/>
          <w:lang w:eastAsia="ru-RU"/>
        </w:rPr>
        <w:t>3.2 Диффузия в полях напряжений.</w:t>
      </w:r>
    </w:p>
    <w:p w14:paraId="793B02B7" w14:textId="77777777" w:rsidR="006829C9" w:rsidRPr="006829C9" w:rsidRDefault="006829C9" w:rsidP="006829C9">
      <w:pPr>
        <w:rPr>
          <w:rFonts w:ascii="Helvetica" w:eastAsia="Symbol" w:hAnsi="Helvetica" w:cs="Helvetica"/>
          <w:b/>
          <w:bCs/>
          <w:color w:val="222222"/>
          <w:kern w:val="0"/>
          <w:sz w:val="21"/>
          <w:szCs w:val="21"/>
          <w:lang w:eastAsia="ru-RU"/>
        </w:rPr>
      </w:pPr>
      <w:r w:rsidRPr="006829C9">
        <w:rPr>
          <w:rFonts w:ascii="Helvetica" w:eastAsia="Symbol" w:hAnsi="Helvetica" w:cs="Helvetica"/>
          <w:b/>
          <w:bCs/>
          <w:color w:val="222222"/>
          <w:kern w:val="0"/>
          <w:sz w:val="21"/>
          <w:szCs w:val="21"/>
          <w:lang w:eastAsia="ru-RU"/>
        </w:rPr>
        <w:t>3.3 Анизотропная диффузия.</w:t>
      </w:r>
    </w:p>
    <w:p w14:paraId="67E41765" w14:textId="77777777" w:rsidR="006829C9" w:rsidRPr="006829C9" w:rsidRDefault="006829C9" w:rsidP="006829C9">
      <w:pPr>
        <w:rPr>
          <w:rFonts w:ascii="Helvetica" w:eastAsia="Symbol" w:hAnsi="Helvetica" w:cs="Helvetica"/>
          <w:b/>
          <w:bCs/>
          <w:color w:val="222222"/>
          <w:kern w:val="0"/>
          <w:sz w:val="21"/>
          <w:szCs w:val="21"/>
          <w:lang w:eastAsia="ru-RU"/>
        </w:rPr>
      </w:pPr>
      <w:r w:rsidRPr="006829C9">
        <w:rPr>
          <w:rFonts w:ascii="Helvetica" w:eastAsia="Symbol" w:hAnsi="Helvetica" w:cs="Helvetica"/>
          <w:b/>
          <w:bCs/>
          <w:color w:val="222222"/>
          <w:kern w:val="0"/>
          <w:sz w:val="21"/>
          <w:szCs w:val="21"/>
          <w:lang w:eastAsia="ru-RU"/>
        </w:rPr>
        <w:t>3.4 Альтернативный подход - модель ячеек.</w:t>
      </w:r>
    </w:p>
    <w:p w14:paraId="346273B4" w14:textId="77777777" w:rsidR="006829C9" w:rsidRPr="006829C9" w:rsidRDefault="006829C9" w:rsidP="006829C9">
      <w:pPr>
        <w:rPr>
          <w:rFonts w:ascii="Helvetica" w:eastAsia="Symbol" w:hAnsi="Helvetica" w:cs="Helvetica"/>
          <w:b/>
          <w:bCs/>
          <w:color w:val="222222"/>
          <w:kern w:val="0"/>
          <w:sz w:val="21"/>
          <w:szCs w:val="21"/>
          <w:lang w:eastAsia="ru-RU"/>
        </w:rPr>
      </w:pPr>
      <w:r w:rsidRPr="006829C9">
        <w:rPr>
          <w:rFonts w:ascii="Helvetica" w:eastAsia="Symbol" w:hAnsi="Helvetica" w:cs="Helvetica"/>
          <w:b/>
          <w:bCs/>
          <w:color w:val="222222"/>
          <w:kern w:val="0"/>
          <w:sz w:val="21"/>
          <w:szCs w:val="21"/>
          <w:lang w:eastAsia="ru-RU"/>
        </w:rPr>
        <w:t>3.5 Выводы по главе 3.</w:t>
      </w:r>
    </w:p>
    <w:p w14:paraId="3FFD9D74" w14:textId="77777777" w:rsidR="006829C9" w:rsidRPr="006829C9" w:rsidRDefault="006829C9" w:rsidP="006829C9">
      <w:pPr>
        <w:rPr>
          <w:rFonts w:ascii="Helvetica" w:eastAsia="Symbol" w:hAnsi="Helvetica" w:cs="Helvetica"/>
          <w:b/>
          <w:bCs/>
          <w:color w:val="222222"/>
          <w:kern w:val="0"/>
          <w:sz w:val="21"/>
          <w:szCs w:val="21"/>
          <w:lang w:eastAsia="ru-RU"/>
        </w:rPr>
      </w:pPr>
      <w:r w:rsidRPr="006829C9">
        <w:rPr>
          <w:rFonts w:ascii="Helvetica" w:eastAsia="Symbol" w:hAnsi="Helvetica" w:cs="Helvetica"/>
          <w:b/>
          <w:bCs/>
          <w:color w:val="222222"/>
          <w:kern w:val="0"/>
          <w:sz w:val="21"/>
          <w:szCs w:val="21"/>
          <w:lang w:eastAsia="ru-RU"/>
        </w:rPr>
        <w:t>4 Мощности стоков с учетом особенностей кристаллической структуры материала</w:t>
      </w:r>
    </w:p>
    <w:p w14:paraId="7F8E358A" w14:textId="77777777" w:rsidR="006829C9" w:rsidRPr="006829C9" w:rsidRDefault="006829C9" w:rsidP="006829C9">
      <w:pPr>
        <w:rPr>
          <w:rFonts w:ascii="Helvetica" w:eastAsia="Symbol" w:hAnsi="Helvetica" w:cs="Helvetica"/>
          <w:b/>
          <w:bCs/>
          <w:color w:val="222222"/>
          <w:kern w:val="0"/>
          <w:sz w:val="21"/>
          <w:szCs w:val="21"/>
          <w:lang w:eastAsia="ru-RU"/>
        </w:rPr>
      </w:pPr>
      <w:r w:rsidRPr="006829C9">
        <w:rPr>
          <w:rFonts w:ascii="Helvetica" w:eastAsia="Symbol" w:hAnsi="Helvetica" w:cs="Helvetica"/>
          <w:b/>
          <w:bCs/>
          <w:color w:val="222222"/>
          <w:kern w:val="0"/>
          <w:sz w:val="21"/>
          <w:szCs w:val="21"/>
          <w:lang w:eastAsia="ru-RU"/>
        </w:rPr>
        <w:t>4.1 Диффузия в кубических решетках</w:t>
      </w:r>
    </w:p>
    <w:p w14:paraId="0DA8FD80" w14:textId="77777777" w:rsidR="006829C9" w:rsidRPr="006829C9" w:rsidRDefault="006829C9" w:rsidP="006829C9">
      <w:pPr>
        <w:rPr>
          <w:rFonts w:ascii="Helvetica" w:eastAsia="Symbol" w:hAnsi="Helvetica" w:cs="Helvetica"/>
          <w:b/>
          <w:bCs/>
          <w:color w:val="222222"/>
          <w:kern w:val="0"/>
          <w:sz w:val="21"/>
          <w:szCs w:val="21"/>
          <w:lang w:eastAsia="ru-RU"/>
        </w:rPr>
      </w:pPr>
      <w:r w:rsidRPr="006829C9">
        <w:rPr>
          <w:rFonts w:ascii="Helvetica" w:eastAsia="Symbol" w:hAnsi="Helvetica" w:cs="Helvetica"/>
          <w:b/>
          <w:bCs/>
          <w:color w:val="222222"/>
          <w:kern w:val="0"/>
          <w:sz w:val="21"/>
          <w:szCs w:val="21"/>
          <w:lang w:eastAsia="ru-RU"/>
        </w:rPr>
        <w:t>4.1.1 Вывод уравнений диффузии.</w:t>
      </w:r>
    </w:p>
    <w:p w14:paraId="2711CF79" w14:textId="77777777" w:rsidR="006829C9" w:rsidRPr="006829C9" w:rsidRDefault="006829C9" w:rsidP="006829C9">
      <w:pPr>
        <w:rPr>
          <w:rFonts w:ascii="Helvetica" w:eastAsia="Symbol" w:hAnsi="Helvetica" w:cs="Helvetica"/>
          <w:b/>
          <w:bCs/>
          <w:color w:val="222222"/>
          <w:kern w:val="0"/>
          <w:sz w:val="21"/>
          <w:szCs w:val="21"/>
          <w:lang w:eastAsia="ru-RU"/>
        </w:rPr>
      </w:pPr>
      <w:r w:rsidRPr="006829C9">
        <w:rPr>
          <w:rFonts w:ascii="Helvetica" w:eastAsia="Symbol" w:hAnsi="Helvetica" w:cs="Helvetica"/>
          <w:b/>
          <w:bCs/>
          <w:color w:val="222222"/>
          <w:kern w:val="0"/>
          <w:sz w:val="21"/>
          <w:szCs w:val="21"/>
          <w:lang w:eastAsia="ru-RU"/>
        </w:rPr>
        <w:t>4.1.2 Коэффициенты диффузии в ОЦК и ГЦК решетках</w:t>
      </w:r>
    </w:p>
    <w:p w14:paraId="715122BB" w14:textId="77777777" w:rsidR="006829C9" w:rsidRPr="006829C9" w:rsidRDefault="006829C9" w:rsidP="006829C9">
      <w:pPr>
        <w:rPr>
          <w:rFonts w:ascii="Helvetica" w:eastAsia="Symbol" w:hAnsi="Helvetica" w:cs="Helvetica"/>
          <w:b/>
          <w:bCs/>
          <w:color w:val="222222"/>
          <w:kern w:val="0"/>
          <w:sz w:val="21"/>
          <w:szCs w:val="21"/>
          <w:lang w:eastAsia="ru-RU"/>
        </w:rPr>
      </w:pPr>
      <w:r w:rsidRPr="006829C9">
        <w:rPr>
          <w:rFonts w:ascii="Helvetica" w:eastAsia="Symbol" w:hAnsi="Helvetica" w:cs="Helvetica"/>
          <w:b/>
          <w:bCs/>
          <w:color w:val="222222"/>
          <w:kern w:val="0"/>
          <w:sz w:val="21"/>
          <w:szCs w:val="21"/>
          <w:lang w:eastAsia="ru-RU"/>
        </w:rPr>
        <w:t>4.1.3 Коэффициент диффузии в сильном поле.</w:t>
      </w:r>
    </w:p>
    <w:p w14:paraId="50AE4E9A" w14:textId="77777777" w:rsidR="006829C9" w:rsidRPr="006829C9" w:rsidRDefault="006829C9" w:rsidP="006829C9">
      <w:pPr>
        <w:rPr>
          <w:rFonts w:ascii="Helvetica" w:eastAsia="Symbol" w:hAnsi="Helvetica" w:cs="Helvetica"/>
          <w:b/>
          <w:bCs/>
          <w:color w:val="222222"/>
          <w:kern w:val="0"/>
          <w:sz w:val="21"/>
          <w:szCs w:val="21"/>
          <w:lang w:eastAsia="ru-RU"/>
        </w:rPr>
      </w:pPr>
      <w:r w:rsidRPr="006829C9">
        <w:rPr>
          <w:rFonts w:ascii="Helvetica" w:eastAsia="Symbol" w:hAnsi="Helvetica" w:cs="Helvetica"/>
          <w:b/>
          <w:bCs/>
          <w:color w:val="222222"/>
          <w:kern w:val="0"/>
          <w:sz w:val="21"/>
          <w:szCs w:val="21"/>
          <w:lang w:eastAsia="ru-RU"/>
        </w:rPr>
        <w:t>4.1.4 Сравнение анизотропного и изотропного описания диффузии точечных дефектов.</w:t>
      </w:r>
    </w:p>
    <w:p w14:paraId="4A0A4EB9" w14:textId="77777777" w:rsidR="006829C9" w:rsidRPr="006829C9" w:rsidRDefault="006829C9" w:rsidP="006829C9">
      <w:pPr>
        <w:rPr>
          <w:rFonts w:ascii="Helvetica" w:eastAsia="Symbol" w:hAnsi="Helvetica" w:cs="Helvetica"/>
          <w:b/>
          <w:bCs/>
          <w:color w:val="222222"/>
          <w:kern w:val="0"/>
          <w:sz w:val="21"/>
          <w:szCs w:val="21"/>
          <w:lang w:eastAsia="ru-RU"/>
        </w:rPr>
      </w:pPr>
      <w:r w:rsidRPr="006829C9">
        <w:rPr>
          <w:rFonts w:ascii="Helvetica" w:eastAsia="Symbol" w:hAnsi="Helvetica" w:cs="Helvetica"/>
          <w:b/>
          <w:bCs/>
          <w:color w:val="222222"/>
          <w:kern w:val="0"/>
          <w:sz w:val="21"/>
          <w:szCs w:val="21"/>
          <w:lang w:eastAsia="ru-RU"/>
        </w:rPr>
        <w:t>4.2 Преференсы сферических стоков</w:t>
      </w:r>
    </w:p>
    <w:p w14:paraId="087AF4D0" w14:textId="77777777" w:rsidR="006829C9" w:rsidRPr="006829C9" w:rsidRDefault="006829C9" w:rsidP="006829C9">
      <w:pPr>
        <w:rPr>
          <w:rFonts w:ascii="Helvetica" w:eastAsia="Symbol" w:hAnsi="Helvetica" w:cs="Helvetica"/>
          <w:b/>
          <w:bCs/>
          <w:color w:val="222222"/>
          <w:kern w:val="0"/>
          <w:sz w:val="21"/>
          <w:szCs w:val="21"/>
          <w:lang w:eastAsia="ru-RU"/>
        </w:rPr>
      </w:pPr>
      <w:r w:rsidRPr="006829C9">
        <w:rPr>
          <w:rFonts w:ascii="Helvetica" w:eastAsia="Symbol" w:hAnsi="Helvetica" w:cs="Helvetica"/>
          <w:b/>
          <w:bCs/>
          <w:color w:val="222222"/>
          <w:kern w:val="0"/>
          <w:sz w:val="21"/>
          <w:szCs w:val="21"/>
          <w:lang w:eastAsia="ru-RU"/>
        </w:rPr>
        <w:t>4.2.1 Поле деформации вокруг сферического стока.</w:t>
      </w:r>
    </w:p>
    <w:p w14:paraId="700E8EB9" w14:textId="77777777" w:rsidR="006829C9" w:rsidRPr="006829C9" w:rsidRDefault="006829C9" w:rsidP="006829C9">
      <w:pPr>
        <w:rPr>
          <w:rFonts w:ascii="Helvetica" w:eastAsia="Symbol" w:hAnsi="Helvetica" w:cs="Helvetica"/>
          <w:b/>
          <w:bCs/>
          <w:color w:val="222222"/>
          <w:kern w:val="0"/>
          <w:sz w:val="21"/>
          <w:szCs w:val="21"/>
          <w:lang w:eastAsia="ru-RU"/>
        </w:rPr>
      </w:pPr>
      <w:r w:rsidRPr="006829C9">
        <w:rPr>
          <w:rFonts w:ascii="Helvetica" w:eastAsia="Symbol" w:hAnsi="Helvetica" w:cs="Helvetica"/>
          <w:b/>
          <w:bCs/>
          <w:color w:val="222222"/>
          <w:kern w:val="0"/>
          <w:sz w:val="21"/>
          <w:szCs w:val="21"/>
          <w:lang w:eastAsia="ru-RU"/>
        </w:rPr>
        <w:t>4.2.2 Влияние упругой анизотропии решетки на поглощение точечных дефектов сферическим стоком.</w:t>
      </w:r>
    </w:p>
    <w:p w14:paraId="79865420" w14:textId="77777777" w:rsidR="006829C9" w:rsidRPr="006829C9" w:rsidRDefault="006829C9" w:rsidP="006829C9">
      <w:pPr>
        <w:rPr>
          <w:rFonts w:ascii="Helvetica" w:eastAsia="Symbol" w:hAnsi="Helvetica" w:cs="Helvetica"/>
          <w:b/>
          <w:bCs/>
          <w:color w:val="222222"/>
          <w:kern w:val="0"/>
          <w:sz w:val="21"/>
          <w:szCs w:val="21"/>
          <w:lang w:eastAsia="ru-RU"/>
        </w:rPr>
      </w:pPr>
      <w:r w:rsidRPr="006829C9">
        <w:rPr>
          <w:rFonts w:ascii="Helvetica" w:eastAsia="Symbol" w:hAnsi="Helvetica" w:cs="Helvetica"/>
          <w:b/>
          <w:bCs/>
          <w:color w:val="222222"/>
          <w:kern w:val="0"/>
          <w:sz w:val="21"/>
          <w:szCs w:val="21"/>
          <w:lang w:eastAsia="ru-RU"/>
        </w:rPr>
        <w:t>4.2.3 Влияние анизотропии диффузии на потоки точечных дефектов к сферическому стоку.</w:t>
      </w:r>
    </w:p>
    <w:p w14:paraId="315658D2" w14:textId="77777777" w:rsidR="006829C9" w:rsidRPr="006829C9" w:rsidRDefault="006829C9" w:rsidP="006829C9">
      <w:pPr>
        <w:rPr>
          <w:rFonts w:ascii="Helvetica" w:eastAsia="Symbol" w:hAnsi="Helvetica" w:cs="Helvetica"/>
          <w:b/>
          <w:bCs/>
          <w:color w:val="222222"/>
          <w:kern w:val="0"/>
          <w:sz w:val="21"/>
          <w:szCs w:val="21"/>
          <w:lang w:eastAsia="ru-RU"/>
        </w:rPr>
      </w:pPr>
      <w:r w:rsidRPr="006829C9">
        <w:rPr>
          <w:rFonts w:ascii="Helvetica" w:eastAsia="Symbol" w:hAnsi="Helvetica" w:cs="Helvetica"/>
          <w:b/>
          <w:bCs/>
          <w:color w:val="222222"/>
          <w:kern w:val="0"/>
          <w:sz w:val="21"/>
          <w:szCs w:val="21"/>
          <w:lang w:eastAsia="ru-RU"/>
        </w:rPr>
        <w:t>4.2.4 Сравнение с ранее известными результатами.</w:t>
      </w:r>
    </w:p>
    <w:p w14:paraId="589A3A3E" w14:textId="77777777" w:rsidR="006829C9" w:rsidRPr="006829C9" w:rsidRDefault="006829C9" w:rsidP="006829C9">
      <w:pPr>
        <w:rPr>
          <w:rFonts w:ascii="Helvetica" w:eastAsia="Symbol" w:hAnsi="Helvetica" w:cs="Helvetica"/>
          <w:b/>
          <w:bCs/>
          <w:color w:val="222222"/>
          <w:kern w:val="0"/>
          <w:sz w:val="21"/>
          <w:szCs w:val="21"/>
          <w:lang w:eastAsia="ru-RU"/>
        </w:rPr>
      </w:pPr>
      <w:r w:rsidRPr="006829C9">
        <w:rPr>
          <w:rFonts w:ascii="Helvetica" w:eastAsia="Symbol" w:hAnsi="Helvetica" w:cs="Helvetica"/>
          <w:b/>
          <w:bCs/>
          <w:color w:val="222222"/>
          <w:kern w:val="0"/>
          <w:sz w:val="21"/>
          <w:szCs w:val="21"/>
          <w:lang w:eastAsia="ru-RU"/>
        </w:rPr>
        <w:t>4.3 Преференсы дислокаций</w:t>
      </w:r>
    </w:p>
    <w:p w14:paraId="2FB94114" w14:textId="77777777" w:rsidR="006829C9" w:rsidRPr="006829C9" w:rsidRDefault="006829C9" w:rsidP="006829C9">
      <w:pPr>
        <w:rPr>
          <w:rFonts w:ascii="Helvetica" w:eastAsia="Symbol" w:hAnsi="Helvetica" w:cs="Helvetica"/>
          <w:b/>
          <w:bCs/>
          <w:color w:val="222222"/>
          <w:kern w:val="0"/>
          <w:sz w:val="21"/>
          <w:szCs w:val="21"/>
          <w:lang w:eastAsia="ru-RU"/>
        </w:rPr>
      </w:pPr>
      <w:r w:rsidRPr="006829C9">
        <w:rPr>
          <w:rFonts w:ascii="Helvetica" w:eastAsia="Symbol" w:hAnsi="Helvetica" w:cs="Helvetica"/>
          <w:b/>
          <w:bCs/>
          <w:color w:val="222222"/>
          <w:kern w:val="0"/>
          <w:sz w:val="21"/>
          <w:szCs w:val="21"/>
          <w:lang w:eastAsia="ru-RU"/>
        </w:rPr>
        <w:t>4.3.1 Потоки точечных дефектов к дислокациям</w:t>
      </w:r>
    </w:p>
    <w:p w14:paraId="71026CF6" w14:textId="77777777" w:rsidR="006829C9" w:rsidRPr="006829C9" w:rsidRDefault="006829C9" w:rsidP="006829C9">
      <w:pPr>
        <w:rPr>
          <w:rFonts w:ascii="Helvetica" w:eastAsia="Symbol" w:hAnsi="Helvetica" w:cs="Helvetica"/>
          <w:b/>
          <w:bCs/>
          <w:color w:val="222222"/>
          <w:kern w:val="0"/>
          <w:sz w:val="21"/>
          <w:szCs w:val="21"/>
          <w:lang w:eastAsia="ru-RU"/>
        </w:rPr>
      </w:pPr>
      <w:r w:rsidRPr="006829C9">
        <w:rPr>
          <w:rFonts w:ascii="Helvetica" w:eastAsia="Symbol" w:hAnsi="Helvetica" w:cs="Helvetica"/>
          <w:b/>
          <w:bCs/>
          <w:color w:val="222222"/>
          <w:kern w:val="0"/>
          <w:sz w:val="21"/>
          <w:szCs w:val="21"/>
          <w:lang w:eastAsia="ru-RU"/>
        </w:rPr>
        <w:t>4.3.2 Ориентационная зависимость дислокационных преференсов</w:t>
      </w:r>
    </w:p>
    <w:p w14:paraId="051B0B43" w14:textId="77777777" w:rsidR="006829C9" w:rsidRPr="006829C9" w:rsidRDefault="006829C9" w:rsidP="006829C9">
      <w:pPr>
        <w:rPr>
          <w:rFonts w:ascii="Helvetica" w:eastAsia="Symbol" w:hAnsi="Helvetica" w:cs="Helvetica"/>
          <w:b/>
          <w:bCs/>
          <w:color w:val="222222"/>
          <w:kern w:val="0"/>
          <w:sz w:val="21"/>
          <w:szCs w:val="21"/>
          <w:lang w:eastAsia="ru-RU"/>
        </w:rPr>
      </w:pPr>
      <w:r w:rsidRPr="006829C9">
        <w:rPr>
          <w:rFonts w:ascii="Helvetica" w:eastAsia="Symbol" w:hAnsi="Helvetica" w:cs="Helvetica"/>
          <w:b/>
          <w:bCs/>
          <w:color w:val="222222"/>
          <w:kern w:val="0"/>
          <w:sz w:val="21"/>
          <w:szCs w:val="21"/>
          <w:lang w:eastAsia="ru-RU"/>
        </w:rPr>
        <w:t>4.4 Преференсы смешанных стоков.</w:t>
      </w:r>
    </w:p>
    <w:p w14:paraId="798BC069" w14:textId="77777777" w:rsidR="006829C9" w:rsidRPr="006829C9" w:rsidRDefault="006829C9" w:rsidP="006829C9">
      <w:pPr>
        <w:rPr>
          <w:rFonts w:ascii="Helvetica" w:eastAsia="Symbol" w:hAnsi="Helvetica" w:cs="Helvetica"/>
          <w:b/>
          <w:bCs/>
          <w:color w:val="222222"/>
          <w:kern w:val="0"/>
          <w:sz w:val="21"/>
          <w:szCs w:val="21"/>
          <w:lang w:eastAsia="ru-RU"/>
        </w:rPr>
      </w:pPr>
      <w:r w:rsidRPr="006829C9">
        <w:rPr>
          <w:rFonts w:ascii="Helvetica" w:eastAsia="Symbol" w:hAnsi="Helvetica" w:cs="Helvetica"/>
          <w:b/>
          <w:bCs/>
          <w:color w:val="222222"/>
          <w:kern w:val="0"/>
          <w:sz w:val="21"/>
          <w:szCs w:val="21"/>
          <w:lang w:eastAsia="ru-RU"/>
        </w:rPr>
        <w:t>4.4.1 Учет микроструктуры ядра дислокаций.</w:t>
      </w:r>
    </w:p>
    <w:p w14:paraId="01616965" w14:textId="77777777" w:rsidR="006829C9" w:rsidRPr="006829C9" w:rsidRDefault="006829C9" w:rsidP="006829C9">
      <w:pPr>
        <w:rPr>
          <w:rFonts w:ascii="Helvetica" w:eastAsia="Symbol" w:hAnsi="Helvetica" w:cs="Helvetica"/>
          <w:b/>
          <w:bCs/>
          <w:color w:val="222222"/>
          <w:kern w:val="0"/>
          <w:sz w:val="21"/>
          <w:szCs w:val="21"/>
          <w:lang w:eastAsia="ru-RU"/>
        </w:rPr>
      </w:pPr>
      <w:r w:rsidRPr="006829C9">
        <w:rPr>
          <w:rFonts w:ascii="Helvetica" w:eastAsia="Symbol" w:hAnsi="Helvetica" w:cs="Helvetica"/>
          <w:b/>
          <w:bCs/>
          <w:color w:val="222222"/>
          <w:kern w:val="0"/>
          <w:sz w:val="21"/>
          <w:szCs w:val="21"/>
          <w:lang w:eastAsia="ru-RU"/>
        </w:rPr>
        <w:t>4.4.2 Пора на дислокации.</w:t>
      </w:r>
    </w:p>
    <w:p w14:paraId="1114F4E0" w14:textId="77777777" w:rsidR="006829C9" w:rsidRPr="006829C9" w:rsidRDefault="006829C9" w:rsidP="006829C9">
      <w:pPr>
        <w:rPr>
          <w:rFonts w:ascii="Helvetica" w:eastAsia="Symbol" w:hAnsi="Helvetica" w:cs="Helvetica"/>
          <w:b/>
          <w:bCs/>
          <w:color w:val="222222"/>
          <w:kern w:val="0"/>
          <w:sz w:val="21"/>
          <w:szCs w:val="21"/>
          <w:lang w:eastAsia="ru-RU"/>
        </w:rPr>
      </w:pPr>
      <w:r w:rsidRPr="006829C9">
        <w:rPr>
          <w:rFonts w:ascii="Helvetica" w:eastAsia="Symbol" w:hAnsi="Helvetica" w:cs="Helvetica"/>
          <w:b/>
          <w:bCs/>
          <w:color w:val="222222"/>
          <w:kern w:val="0"/>
          <w:sz w:val="21"/>
          <w:szCs w:val="21"/>
          <w:lang w:eastAsia="ru-RU"/>
        </w:rPr>
        <w:t>4.4.3 Ансамбль трещин на плоской границе</w:t>
      </w:r>
    </w:p>
    <w:p w14:paraId="6C02FD28" w14:textId="77777777" w:rsidR="006829C9" w:rsidRPr="006829C9" w:rsidRDefault="006829C9" w:rsidP="006829C9">
      <w:pPr>
        <w:rPr>
          <w:rFonts w:ascii="Helvetica" w:eastAsia="Symbol" w:hAnsi="Helvetica" w:cs="Helvetica"/>
          <w:b/>
          <w:bCs/>
          <w:color w:val="222222"/>
          <w:kern w:val="0"/>
          <w:sz w:val="21"/>
          <w:szCs w:val="21"/>
          <w:lang w:eastAsia="ru-RU"/>
        </w:rPr>
      </w:pPr>
      <w:r w:rsidRPr="006829C9">
        <w:rPr>
          <w:rFonts w:ascii="Helvetica" w:eastAsia="Symbol" w:hAnsi="Helvetica" w:cs="Helvetica"/>
          <w:b/>
          <w:bCs/>
          <w:color w:val="222222"/>
          <w:kern w:val="0"/>
          <w:sz w:val="21"/>
          <w:szCs w:val="21"/>
          <w:lang w:eastAsia="ru-RU"/>
        </w:rPr>
        <w:t>4.5 Одномерная диффузия.</w:t>
      </w:r>
    </w:p>
    <w:p w14:paraId="49B6CD52" w14:textId="77777777" w:rsidR="006829C9" w:rsidRPr="006829C9" w:rsidRDefault="006829C9" w:rsidP="006829C9">
      <w:pPr>
        <w:rPr>
          <w:rFonts w:ascii="Helvetica" w:eastAsia="Symbol" w:hAnsi="Helvetica" w:cs="Helvetica"/>
          <w:b/>
          <w:bCs/>
          <w:color w:val="222222"/>
          <w:kern w:val="0"/>
          <w:sz w:val="21"/>
          <w:szCs w:val="21"/>
          <w:lang w:eastAsia="ru-RU"/>
        </w:rPr>
      </w:pPr>
      <w:r w:rsidRPr="006829C9">
        <w:rPr>
          <w:rFonts w:ascii="Helvetica" w:eastAsia="Symbol" w:hAnsi="Helvetica" w:cs="Helvetica"/>
          <w:b/>
          <w:bCs/>
          <w:color w:val="222222"/>
          <w:kern w:val="0"/>
          <w:sz w:val="21"/>
          <w:szCs w:val="21"/>
          <w:lang w:eastAsia="ru-RU"/>
        </w:rPr>
        <w:t>4.5.1 Точные выражения для концентрационных моментов</w:t>
      </w:r>
    </w:p>
    <w:p w14:paraId="04EFA6AC" w14:textId="77777777" w:rsidR="006829C9" w:rsidRPr="006829C9" w:rsidRDefault="006829C9" w:rsidP="006829C9">
      <w:pPr>
        <w:rPr>
          <w:rFonts w:ascii="Helvetica" w:eastAsia="Symbol" w:hAnsi="Helvetica" w:cs="Helvetica"/>
          <w:b/>
          <w:bCs/>
          <w:color w:val="222222"/>
          <w:kern w:val="0"/>
          <w:sz w:val="21"/>
          <w:szCs w:val="21"/>
          <w:lang w:eastAsia="ru-RU"/>
        </w:rPr>
      </w:pPr>
      <w:r w:rsidRPr="006829C9">
        <w:rPr>
          <w:rFonts w:ascii="Helvetica" w:eastAsia="Symbol" w:hAnsi="Helvetica" w:cs="Helvetica"/>
          <w:b/>
          <w:bCs/>
          <w:color w:val="222222"/>
          <w:kern w:val="0"/>
          <w:sz w:val="21"/>
          <w:szCs w:val="21"/>
          <w:lang w:eastAsia="ru-RU"/>
        </w:rPr>
        <w:lastRenderedPageBreak/>
        <w:t>4.5.2 Мощности стоков для конкретных классов стоков</w:t>
      </w:r>
    </w:p>
    <w:p w14:paraId="78D9CCD4" w14:textId="77777777" w:rsidR="006829C9" w:rsidRPr="006829C9" w:rsidRDefault="006829C9" w:rsidP="006829C9">
      <w:pPr>
        <w:rPr>
          <w:rFonts w:ascii="Helvetica" w:eastAsia="Symbol" w:hAnsi="Helvetica" w:cs="Helvetica"/>
          <w:b/>
          <w:bCs/>
          <w:color w:val="222222"/>
          <w:kern w:val="0"/>
          <w:sz w:val="21"/>
          <w:szCs w:val="21"/>
          <w:lang w:eastAsia="ru-RU"/>
        </w:rPr>
      </w:pPr>
      <w:r w:rsidRPr="006829C9">
        <w:rPr>
          <w:rFonts w:ascii="Helvetica" w:eastAsia="Symbol" w:hAnsi="Helvetica" w:cs="Helvetica"/>
          <w:b/>
          <w:bCs/>
          <w:color w:val="222222"/>
          <w:kern w:val="0"/>
          <w:sz w:val="21"/>
          <w:szCs w:val="21"/>
          <w:lang w:eastAsia="ru-RU"/>
        </w:rPr>
        <w:t>4.6 Выводы по главе 4.</w:t>
      </w:r>
    </w:p>
    <w:p w14:paraId="071EBB05" w14:textId="0E8E1FD7" w:rsidR="00E67B85" w:rsidRPr="006829C9" w:rsidRDefault="00E67B85" w:rsidP="006829C9"/>
    <w:sectPr w:rsidR="00E67B85" w:rsidRPr="006829C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9B5C2" w14:textId="77777777" w:rsidR="00CF1BF8" w:rsidRDefault="00CF1BF8">
      <w:pPr>
        <w:spacing w:after="0" w:line="240" w:lineRule="auto"/>
      </w:pPr>
      <w:r>
        <w:separator/>
      </w:r>
    </w:p>
  </w:endnote>
  <w:endnote w:type="continuationSeparator" w:id="0">
    <w:p w14:paraId="4047DED7" w14:textId="77777777" w:rsidR="00CF1BF8" w:rsidRDefault="00CF1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24B01" w14:textId="77777777" w:rsidR="00CF1BF8" w:rsidRDefault="00CF1BF8"/>
    <w:p w14:paraId="6CC42EDE" w14:textId="77777777" w:rsidR="00CF1BF8" w:rsidRDefault="00CF1BF8"/>
    <w:p w14:paraId="3D46DBC2" w14:textId="77777777" w:rsidR="00CF1BF8" w:rsidRDefault="00CF1BF8"/>
    <w:p w14:paraId="62696489" w14:textId="77777777" w:rsidR="00CF1BF8" w:rsidRDefault="00CF1BF8"/>
    <w:p w14:paraId="0042CB6B" w14:textId="77777777" w:rsidR="00CF1BF8" w:rsidRDefault="00CF1BF8"/>
    <w:p w14:paraId="1D826DB6" w14:textId="77777777" w:rsidR="00CF1BF8" w:rsidRDefault="00CF1BF8"/>
    <w:p w14:paraId="2FB7AE8B" w14:textId="77777777" w:rsidR="00CF1BF8" w:rsidRDefault="00CF1BF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C6923BB" wp14:editId="188CBF9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72175" w14:textId="77777777" w:rsidR="00CF1BF8" w:rsidRDefault="00CF1BF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6923B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4272175" w14:textId="77777777" w:rsidR="00CF1BF8" w:rsidRDefault="00CF1BF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4AFE10A" w14:textId="77777777" w:rsidR="00CF1BF8" w:rsidRDefault="00CF1BF8"/>
    <w:p w14:paraId="5A590E9A" w14:textId="77777777" w:rsidR="00CF1BF8" w:rsidRDefault="00CF1BF8"/>
    <w:p w14:paraId="25921F36" w14:textId="77777777" w:rsidR="00CF1BF8" w:rsidRDefault="00CF1BF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A9F951E" wp14:editId="07288AC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756F2" w14:textId="77777777" w:rsidR="00CF1BF8" w:rsidRDefault="00CF1BF8"/>
                          <w:p w14:paraId="0F7F7981" w14:textId="77777777" w:rsidR="00CF1BF8" w:rsidRDefault="00CF1BF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9F951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86756F2" w14:textId="77777777" w:rsidR="00CF1BF8" w:rsidRDefault="00CF1BF8"/>
                    <w:p w14:paraId="0F7F7981" w14:textId="77777777" w:rsidR="00CF1BF8" w:rsidRDefault="00CF1BF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1C4185B" w14:textId="77777777" w:rsidR="00CF1BF8" w:rsidRDefault="00CF1BF8"/>
    <w:p w14:paraId="0AE74EAD" w14:textId="77777777" w:rsidR="00CF1BF8" w:rsidRDefault="00CF1BF8">
      <w:pPr>
        <w:rPr>
          <w:sz w:val="2"/>
          <w:szCs w:val="2"/>
        </w:rPr>
      </w:pPr>
    </w:p>
    <w:p w14:paraId="66C200D0" w14:textId="77777777" w:rsidR="00CF1BF8" w:rsidRDefault="00CF1BF8"/>
    <w:p w14:paraId="3BA60DB8" w14:textId="77777777" w:rsidR="00CF1BF8" w:rsidRDefault="00CF1BF8">
      <w:pPr>
        <w:spacing w:after="0" w:line="240" w:lineRule="auto"/>
      </w:pPr>
    </w:p>
  </w:footnote>
  <w:footnote w:type="continuationSeparator" w:id="0">
    <w:p w14:paraId="23EF9073" w14:textId="77777777" w:rsidR="00CF1BF8" w:rsidRDefault="00CF1B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BF8"/>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111518</TotalTime>
  <Pages>3</Pages>
  <Words>440</Words>
  <Characters>2508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1780</cp:revision>
  <cp:lastPrinted>2009-02-06T05:36:00Z</cp:lastPrinted>
  <dcterms:created xsi:type="dcterms:W3CDTF">2024-01-07T13:43:00Z</dcterms:created>
  <dcterms:modified xsi:type="dcterms:W3CDTF">2025-06-10T21:38:00Z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