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A975" w14:textId="7DDE492D" w:rsidR="0007264D" w:rsidRDefault="00885831" w:rsidP="00885831">
      <w:pPr>
        <w:rPr>
          <w:rFonts w:ascii="Verdana" w:hAnsi="Verdana"/>
          <w:b/>
          <w:bCs/>
          <w:color w:val="000000"/>
          <w:shd w:val="clear" w:color="auto" w:fill="FFFFFF"/>
        </w:rPr>
      </w:pPr>
      <w:r>
        <w:rPr>
          <w:rFonts w:ascii="Verdana" w:hAnsi="Verdana"/>
          <w:b/>
          <w:bCs/>
          <w:color w:val="000000"/>
          <w:shd w:val="clear" w:color="auto" w:fill="FFFFFF"/>
        </w:rPr>
        <w:t>Гармідер Лариса Дмитрівна. Комплексна оцінка та механізм регулювання зайнятості населення у контексті соціально-економічного розвитку регіону: дисертація канд. екон. наук: 08.02.03 / Дніпропетровський ун-т економіки та права.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5831" w:rsidRPr="00885831" w14:paraId="486C7726" w14:textId="77777777" w:rsidTr="008858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5831" w:rsidRPr="00885831" w14:paraId="4228A53E" w14:textId="77777777">
              <w:trPr>
                <w:tblCellSpacing w:w="0" w:type="dxa"/>
              </w:trPr>
              <w:tc>
                <w:tcPr>
                  <w:tcW w:w="0" w:type="auto"/>
                  <w:vAlign w:val="center"/>
                  <w:hideMark/>
                </w:tcPr>
                <w:p w14:paraId="28B94D4E"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lastRenderedPageBreak/>
                    <w:t>Гармідер Л.Д. Комплексна оцінка та механізм регулювання зайнятості населення у контексті соціально-економічного розвитку регіону. – Рукопис.</w:t>
                  </w:r>
                </w:p>
                <w:p w14:paraId="67D771A4"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Дисертація на здобуття вченого ступеня кандидата економічних наук за фахом 08.02.03 - Організація управління, планування і регулювання економікою. – Дніпропетровський університет економіки та права, Дніпропетровськ, 2003.</w:t>
                  </w:r>
                </w:p>
                <w:p w14:paraId="4F2F8548"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Вивчається тенденція регіонального використання трудових ресурсів на основі системного підходу. Визначено актуальність дослідження зайнятості населення у нелегальному (тіньовому) секторі економіки та встановлена відсутність кількісної оцінки її масштабів в Україні. Визначено актуальність дослідження зайнятості працездатного населення в нелегальному (тіньовому) секторі економіки та встановлена відсутність кількісної оцінки її масштабів в Україні. Розроблений спосіб оцінки тіньової зайнятості в Україні. Запропоновано методика розрахунку орієнтовного рівня тіньової зайнятості в регіонах і рекомендації з удосконалення її аналізу.</w:t>
                  </w:r>
                </w:p>
                <w:p w14:paraId="6D18F9CA"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Запропонована цільова функція регулювання зайнятості трудових ресурсів і розроблена системна прогнозна динамічна соціально-економічна модель формування контингентів трудових ресурсів для різних адміністративно-ієрархічних рівнів управління, що вперше дає кількісну оцінку переміщенню населення між альтернативними станами ринку праці (офіційна зайнятість, тіньова зайнятість і безробіття). Виконаний аналіз рівня тіньової зайнятості за окремими її сегментами. Проаналізовано результати опитування безробітних по місту Дніпропетровську.</w:t>
                  </w:r>
                </w:p>
                <w:p w14:paraId="7233A407"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Запропонована системна модель з самостійним прогнозуванням і регулюванням офіційної зайнятості, тіньової зайнятості і безробіття, що побудована у вигляді блок-схеми. Узагальнені напрямки та обґрунтовано пропозиції та заходи щодо регулювання регіональних ринків праці.</w:t>
                  </w:r>
                </w:p>
              </w:tc>
            </w:tr>
          </w:tbl>
          <w:p w14:paraId="2C580960" w14:textId="77777777" w:rsidR="00885831" w:rsidRPr="00885831" w:rsidRDefault="00885831" w:rsidP="00885831">
            <w:pPr>
              <w:spacing w:after="0" w:line="240" w:lineRule="auto"/>
              <w:rPr>
                <w:rFonts w:ascii="Times New Roman" w:eastAsia="Times New Roman" w:hAnsi="Times New Roman" w:cs="Times New Roman"/>
                <w:sz w:val="24"/>
                <w:szCs w:val="24"/>
              </w:rPr>
            </w:pPr>
          </w:p>
        </w:tc>
      </w:tr>
      <w:tr w:rsidR="00885831" w:rsidRPr="00885831" w14:paraId="56FB9CEC" w14:textId="77777777" w:rsidTr="008858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5831" w:rsidRPr="00885831" w14:paraId="415CDA2C" w14:textId="77777777">
              <w:trPr>
                <w:tblCellSpacing w:w="0" w:type="dxa"/>
              </w:trPr>
              <w:tc>
                <w:tcPr>
                  <w:tcW w:w="0" w:type="auto"/>
                  <w:vAlign w:val="center"/>
                  <w:hideMark/>
                </w:tcPr>
                <w:p w14:paraId="0423CD64"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1. У даній роботі застосований системний підхід до дослідження проблеми використання трудових ресурсів. Зайнятість працездатного населення як соціально-економічне явище подана у вигляді системи, що складається із трьох функціональних блоків, які диференціюють зайнятість: за формою організації робочого часу; за пріоритетністю і сферою прикладання праці; за її правомірністю і наслідками.</w:t>
                  </w:r>
                </w:p>
                <w:p w14:paraId="6C8B2DF9"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2. В системі зайнятості населення виділена в окремий елемент тіньова зайнятість, що дозволило досліджувати її особливості, дати кількісну оцінку та теоретично обґрунтувати можливість і механізм її регулювання.</w:t>
                  </w:r>
                </w:p>
                <w:p w14:paraId="326F8F96"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3. Аналізуючи недоліки сучасних методів оцінки тіньової зайнятості населення, запропоновано відносний показник тіньової зайнятості і наведена схема його аналітичного розрахунку, що відкриває нові можливості для більш поглибленого вивчення ринку праці.</w:t>
                  </w:r>
                </w:p>
                <w:p w14:paraId="7CE43725"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4. З метою поглибленого вивчення територіальної структури України розроблені теоретичні засади щодо сегментації території України, виходячи з розрахункового орієнтовного рівня тіньової зайнятості. Такий підхід до типології території України за рівнем тіньової зайнятості дозволяє перейти від суб’єктивної (вербальної) оцінки зайнятості до об’єктивної (науково-обґрунтованої) кількісної оцінки і виконати з допомогою ЕОМ відповідні аналіз і прогнозні розрахунки по регіонах.</w:t>
                  </w:r>
                </w:p>
                <w:p w14:paraId="5A24757C"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lastRenderedPageBreak/>
                    <w:t>5. Запропонована системна прогнозна динамічна соціально-економічна модель формування контингентів трудових ресурсів для макро-, мезо- і мікрорівнів управління, яка вперше надає кількісну оцінку руху населення між альтернативними станами ринку праці (офіційна зайнятість, тіньова зайнятість та безробіття). Використання комплексно розроблених математичних моделей дозволяє вперше дати кількісну оцінку впливу основних економічних і соціальних чинників на масштаби зайнятості. Виявлено спадкоємність чинників на всіх рівнях управління, що полегшує регулювання зайнятості населення.</w:t>
                  </w:r>
                </w:p>
                <w:p w14:paraId="43BBF761"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6. Розроблена системна модель з самостійним прогнозуванням і регулюванням офіційної зайнятості, тіньової зайнятості та безробіття, що побудована у вигляді блок–схеми, яка доводить необхідність постійного комплексного моніторингу динаміки контингентів трудових ресурсів за основними соціально-економічними показниками, а також враховує регіональні особливості.</w:t>
                  </w:r>
                </w:p>
                <w:p w14:paraId="1D0E1C35" w14:textId="77777777" w:rsidR="00885831" w:rsidRPr="00885831" w:rsidRDefault="00885831" w:rsidP="008858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5831">
                    <w:rPr>
                      <w:rFonts w:ascii="Times New Roman" w:eastAsia="Times New Roman" w:hAnsi="Times New Roman" w:cs="Times New Roman"/>
                      <w:sz w:val="24"/>
                      <w:szCs w:val="24"/>
                    </w:rPr>
                    <w:t>7. Надані рекомендації щодо перегляду деяких напрямків державної політики у сфері використання трудових ресурсів в Україні та проведення активної політики зайнятості. Їх доцільно використовувати при обгрунтуванні управлінських рішень, підготовці оперативних, середньострокових планів, для розробки основних напрямків підвищення ефективності використання трудових ресурсів.</w:t>
                  </w:r>
                </w:p>
              </w:tc>
            </w:tr>
          </w:tbl>
          <w:p w14:paraId="222A9750" w14:textId="77777777" w:rsidR="00885831" w:rsidRPr="00885831" w:rsidRDefault="00885831" w:rsidP="00885831">
            <w:pPr>
              <w:spacing w:after="0" w:line="240" w:lineRule="auto"/>
              <w:rPr>
                <w:rFonts w:ascii="Times New Roman" w:eastAsia="Times New Roman" w:hAnsi="Times New Roman" w:cs="Times New Roman"/>
                <w:sz w:val="24"/>
                <w:szCs w:val="24"/>
              </w:rPr>
            </w:pPr>
          </w:p>
        </w:tc>
      </w:tr>
    </w:tbl>
    <w:p w14:paraId="53AA45B9" w14:textId="77777777" w:rsidR="00885831" w:rsidRPr="00885831" w:rsidRDefault="00885831" w:rsidP="00885831"/>
    <w:sectPr w:rsidR="00885831" w:rsidRPr="008858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2AB8" w14:textId="77777777" w:rsidR="00F53593" w:rsidRDefault="00F53593">
      <w:pPr>
        <w:spacing w:after="0" w:line="240" w:lineRule="auto"/>
      </w:pPr>
      <w:r>
        <w:separator/>
      </w:r>
    </w:p>
  </w:endnote>
  <w:endnote w:type="continuationSeparator" w:id="0">
    <w:p w14:paraId="35B98AD1" w14:textId="77777777" w:rsidR="00F53593" w:rsidRDefault="00F5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EA10" w14:textId="77777777" w:rsidR="00F53593" w:rsidRDefault="00F53593">
      <w:pPr>
        <w:spacing w:after="0" w:line="240" w:lineRule="auto"/>
      </w:pPr>
      <w:r>
        <w:separator/>
      </w:r>
    </w:p>
  </w:footnote>
  <w:footnote w:type="continuationSeparator" w:id="0">
    <w:p w14:paraId="4B8D7D81" w14:textId="77777777" w:rsidR="00F53593" w:rsidRDefault="00F53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35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0"/>
  </w:num>
  <w:num w:numId="4">
    <w:abstractNumId w:val="1"/>
  </w:num>
  <w:num w:numId="5">
    <w:abstractNumId w:val="25"/>
  </w:num>
  <w:num w:numId="6">
    <w:abstractNumId w:val="28"/>
  </w:num>
  <w:num w:numId="7">
    <w:abstractNumId w:val="0"/>
  </w:num>
  <w:num w:numId="8">
    <w:abstractNumId w:val="17"/>
  </w:num>
  <w:num w:numId="9">
    <w:abstractNumId w:val="6"/>
  </w:num>
  <w:num w:numId="10">
    <w:abstractNumId w:val="14"/>
  </w:num>
  <w:num w:numId="11">
    <w:abstractNumId w:val="22"/>
  </w:num>
  <w:num w:numId="12">
    <w:abstractNumId w:val="18"/>
  </w:num>
  <w:num w:numId="13">
    <w:abstractNumId w:val="5"/>
  </w:num>
  <w:num w:numId="14">
    <w:abstractNumId w:val="13"/>
  </w:num>
  <w:num w:numId="15">
    <w:abstractNumId w:val="23"/>
  </w:num>
  <w:num w:numId="16">
    <w:abstractNumId w:val="24"/>
  </w:num>
  <w:num w:numId="17">
    <w:abstractNumId w:val="12"/>
  </w:num>
  <w:num w:numId="18">
    <w:abstractNumId w:val="19"/>
  </w:num>
  <w:num w:numId="19">
    <w:abstractNumId w:val="9"/>
  </w:num>
  <w:num w:numId="20">
    <w:abstractNumId w:val="21"/>
  </w:num>
  <w:num w:numId="21">
    <w:abstractNumId w:val="2"/>
  </w:num>
  <w:num w:numId="22">
    <w:abstractNumId w:val="3"/>
  </w:num>
  <w:num w:numId="23">
    <w:abstractNumId w:val="29"/>
  </w:num>
  <w:num w:numId="24">
    <w:abstractNumId w:val="26"/>
  </w:num>
  <w:num w:numId="25">
    <w:abstractNumId w:val="7"/>
  </w:num>
  <w:num w:numId="26">
    <w:abstractNumId w:val="20"/>
  </w:num>
  <w:num w:numId="27">
    <w:abstractNumId w:val="27"/>
  </w:num>
  <w:num w:numId="28">
    <w:abstractNumId w:val="11"/>
  </w:num>
  <w:num w:numId="29">
    <w:abstractNumId w:val="1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593"/>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92764</TotalTime>
  <Pages>3</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4749</cp:revision>
  <dcterms:created xsi:type="dcterms:W3CDTF">2024-06-20T08:51:00Z</dcterms:created>
  <dcterms:modified xsi:type="dcterms:W3CDTF">2024-09-29T17:17:00Z</dcterms:modified>
  <cp:category/>
</cp:coreProperties>
</file>