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0152F" w14:textId="77777777" w:rsidR="00F67CFC" w:rsidRPr="00F67CFC" w:rsidRDefault="00F67CFC" w:rsidP="00F67CFC">
      <w:pPr>
        <w:rPr>
          <w:rFonts w:ascii="Helvetica" w:eastAsia="Symbol" w:hAnsi="Helvetica" w:cs="Helvetica"/>
          <w:b/>
          <w:bCs/>
          <w:color w:val="222222"/>
          <w:kern w:val="0"/>
          <w:sz w:val="21"/>
          <w:szCs w:val="21"/>
          <w:lang w:eastAsia="ru-RU"/>
        </w:rPr>
      </w:pPr>
      <w:r w:rsidRPr="00F67CFC">
        <w:rPr>
          <w:rFonts w:ascii="Helvetica" w:eastAsia="Symbol" w:hAnsi="Helvetica" w:cs="Helvetica"/>
          <w:b/>
          <w:bCs/>
          <w:color w:val="222222"/>
          <w:kern w:val="0"/>
          <w:sz w:val="21"/>
          <w:szCs w:val="21"/>
          <w:lang w:eastAsia="ru-RU"/>
        </w:rPr>
        <w:t>Ефремова, Ксения Александровна.</w:t>
      </w:r>
    </w:p>
    <w:p w14:paraId="589976ED" w14:textId="77777777" w:rsidR="00F67CFC" w:rsidRPr="00F67CFC" w:rsidRDefault="00F67CFC" w:rsidP="00F67CFC">
      <w:pPr>
        <w:rPr>
          <w:rFonts w:ascii="Helvetica" w:eastAsia="Symbol" w:hAnsi="Helvetica" w:cs="Helvetica"/>
          <w:b/>
          <w:bCs/>
          <w:color w:val="222222"/>
          <w:kern w:val="0"/>
          <w:sz w:val="21"/>
          <w:szCs w:val="21"/>
          <w:lang w:eastAsia="ru-RU"/>
        </w:rPr>
      </w:pPr>
      <w:r w:rsidRPr="00F67CFC">
        <w:rPr>
          <w:rFonts w:ascii="Helvetica" w:eastAsia="Symbol" w:hAnsi="Helvetica" w:cs="Helvetica"/>
          <w:b/>
          <w:bCs/>
          <w:color w:val="222222"/>
          <w:kern w:val="0"/>
          <w:sz w:val="21"/>
          <w:szCs w:val="21"/>
          <w:lang w:eastAsia="ru-RU"/>
        </w:rPr>
        <w:t xml:space="preserve">Модели взаимодействия неравновесных участников международных </w:t>
      </w:r>
      <w:proofErr w:type="gramStart"/>
      <w:r w:rsidRPr="00F67CFC">
        <w:rPr>
          <w:rFonts w:ascii="Helvetica" w:eastAsia="Symbol" w:hAnsi="Helvetica" w:cs="Helvetica"/>
          <w:b/>
          <w:bCs/>
          <w:color w:val="222222"/>
          <w:kern w:val="0"/>
          <w:sz w:val="21"/>
          <w:szCs w:val="21"/>
          <w:lang w:eastAsia="ru-RU"/>
        </w:rPr>
        <w:t>отношений :</w:t>
      </w:r>
      <w:proofErr w:type="gramEnd"/>
      <w:r w:rsidRPr="00F67CFC">
        <w:rPr>
          <w:rFonts w:ascii="Helvetica" w:eastAsia="Symbol" w:hAnsi="Helvetica" w:cs="Helvetica"/>
          <w:b/>
          <w:bCs/>
          <w:color w:val="222222"/>
          <w:kern w:val="0"/>
          <w:sz w:val="21"/>
          <w:szCs w:val="21"/>
          <w:lang w:eastAsia="ru-RU"/>
        </w:rPr>
        <w:t xml:space="preserve"> На примере Китая, Индии и Мьянмы : диссертация ... кандидата политических наук : 23.00.04. - Москва, 2004. - 223 с.</w:t>
      </w:r>
    </w:p>
    <w:p w14:paraId="12744D8C" w14:textId="77777777" w:rsidR="00F67CFC" w:rsidRPr="00F67CFC" w:rsidRDefault="00F67CFC" w:rsidP="00F67CFC">
      <w:pPr>
        <w:rPr>
          <w:rFonts w:ascii="Helvetica" w:eastAsia="Symbol" w:hAnsi="Helvetica" w:cs="Helvetica"/>
          <w:b/>
          <w:bCs/>
          <w:color w:val="222222"/>
          <w:kern w:val="0"/>
          <w:sz w:val="21"/>
          <w:szCs w:val="21"/>
          <w:lang w:eastAsia="ru-RU"/>
        </w:rPr>
      </w:pPr>
      <w:r w:rsidRPr="00F67CFC">
        <w:rPr>
          <w:rFonts w:ascii="Helvetica" w:eastAsia="Symbol" w:hAnsi="Helvetica" w:cs="Helvetica"/>
          <w:b/>
          <w:bCs/>
          <w:color w:val="222222"/>
          <w:kern w:val="0"/>
          <w:sz w:val="21"/>
          <w:szCs w:val="21"/>
          <w:lang w:eastAsia="ru-RU"/>
        </w:rPr>
        <w:t>Оглавление диссертациикандидат политических наук Ефремова, Ксения Александровна</w:t>
      </w:r>
    </w:p>
    <w:p w14:paraId="12CFB979" w14:textId="77777777" w:rsidR="00F67CFC" w:rsidRPr="00F67CFC" w:rsidRDefault="00F67CFC" w:rsidP="00F67CFC">
      <w:pPr>
        <w:rPr>
          <w:rFonts w:ascii="Helvetica" w:eastAsia="Symbol" w:hAnsi="Helvetica" w:cs="Helvetica"/>
          <w:b/>
          <w:bCs/>
          <w:color w:val="222222"/>
          <w:kern w:val="0"/>
          <w:sz w:val="21"/>
          <w:szCs w:val="21"/>
          <w:lang w:eastAsia="ru-RU"/>
        </w:rPr>
      </w:pPr>
      <w:r w:rsidRPr="00F67CFC">
        <w:rPr>
          <w:rFonts w:ascii="Helvetica" w:eastAsia="Symbol" w:hAnsi="Helvetica" w:cs="Helvetica"/>
          <w:b/>
          <w:bCs/>
          <w:color w:val="222222"/>
          <w:kern w:val="0"/>
          <w:sz w:val="21"/>
          <w:szCs w:val="21"/>
          <w:lang w:eastAsia="ru-RU"/>
        </w:rPr>
        <w:t>Введение.</w:t>
      </w:r>
    </w:p>
    <w:p w14:paraId="460B009E" w14:textId="77777777" w:rsidR="00F67CFC" w:rsidRPr="00F67CFC" w:rsidRDefault="00F67CFC" w:rsidP="00F67CFC">
      <w:pPr>
        <w:rPr>
          <w:rFonts w:ascii="Helvetica" w:eastAsia="Symbol" w:hAnsi="Helvetica" w:cs="Helvetica"/>
          <w:b/>
          <w:bCs/>
          <w:color w:val="222222"/>
          <w:kern w:val="0"/>
          <w:sz w:val="21"/>
          <w:szCs w:val="21"/>
          <w:lang w:eastAsia="ru-RU"/>
        </w:rPr>
      </w:pPr>
      <w:r w:rsidRPr="00F67CFC">
        <w:rPr>
          <w:rFonts w:ascii="Helvetica" w:eastAsia="Symbol" w:hAnsi="Helvetica" w:cs="Helvetica"/>
          <w:b/>
          <w:bCs/>
          <w:color w:val="222222"/>
          <w:kern w:val="0"/>
          <w:sz w:val="21"/>
          <w:szCs w:val="21"/>
          <w:lang w:eastAsia="ru-RU"/>
        </w:rPr>
        <w:t>Глава 1. Взаимодействие неравновесных участников международных отношений: региональный и межгосударственный уровни анализа.</w:t>
      </w:r>
    </w:p>
    <w:p w14:paraId="2F2386F0" w14:textId="77777777" w:rsidR="00F67CFC" w:rsidRPr="00F67CFC" w:rsidRDefault="00F67CFC" w:rsidP="00F67CFC">
      <w:pPr>
        <w:rPr>
          <w:rFonts w:ascii="Helvetica" w:eastAsia="Symbol" w:hAnsi="Helvetica" w:cs="Helvetica"/>
          <w:b/>
          <w:bCs/>
          <w:color w:val="222222"/>
          <w:kern w:val="0"/>
          <w:sz w:val="21"/>
          <w:szCs w:val="21"/>
          <w:lang w:eastAsia="ru-RU"/>
        </w:rPr>
      </w:pPr>
      <w:r w:rsidRPr="00F67CFC">
        <w:rPr>
          <w:rFonts w:ascii="Helvetica" w:eastAsia="Symbol" w:hAnsi="Helvetica" w:cs="Helvetica"/>
          <w:b/>
          <w:bCs/>
          <w:color w:val="222222"/>
          <w:kern w:val="0"/>
          <w:sz w:val="21"/>
          <w:szCs w:val="21"/>
          <w:lang w:eastAsia="ru-RU"/>
        </w:rPr>
        <w:t>§ 1. Неравновесные участники международных отношении: теоретические подходы к определению понятий.</w:t>
      </w:r>
    </w:p>
    <w:p w14:paraId="00FC815A" w14:textId="77777777" w:rsidR="00F67CFC" w:rsidRPr="00F67CFC" w:rsidRDefault="00F67CFC" w:rsidP="00F67CFC">
      <w:pPr>
        <w:rPr>
          <w:rFonts w:ascii="Helvetica" w:eastAsia="Symbol" w:hAnsi="Helvetica" w:cs="Helvetica"/>
          <w:b/>
          <w:bCs/>
          <w:color w:val="222222"/>
          <w:kern w:val="0"/>
          <w:sz w:val="21"/>
          <w:szCs w:val="21"/>
          <w:lang w:eastAsia="ru-RU"/>
        </w:rPr>
      </w:pPr>
      <w:r w:rsidRPr="00F67CFC">
        <w:rPr>
          <w:rFonts w:ascii="Helvetica" w:eastAsia="Symbol" w:hAnsi="Helvetica" w:cs="Helvetica"/>
          <w:b/>
          <w:bCs/>
          <w:color w:val="222222"/>
          <w:kern w:val="0"/>
          <w:sz w:val="21"/>
          <w:szCs w:val="21"/>
          <w:lang w:eastAsia="ru-RU"/>
        </w:rPr>
        <w:t>§ 2. Взаимодействие неравновесных участников международных отношений на региональном уровне: структурно-реалистические, либерально-институциональные и структурно-функциональные модели.</w:t>
      </w:r>
    </w:p>
    <w:p w14:paraId="71FB1D34" w14:textId="77777777" w:rsidR="00F67CFC" w:rsidRPr="00F67CFC" w:rsidRDefault="00F67CFC" w:rsidP="00F67CFC">
      <w:pPr>
        <w:rPr>
          <w:rFonts w:ascii="Helvetica" w:eastAsia="Symbol" w:hAnsi="Helvetica" w:cs="Helvetica"/>
          <w:b/>
          <w:bCs/>
          <w:color w:val="222222"/>
          <w:kern w:val="0"/>
          <w:sz w:val="21"/>
          <w:szCs w:val="21"/>
          <w:lang w:eastAsia="ru-RU"/>
        </w:rPr>
      </w:pPr>
      <w:r w:rsidRPr="00F67CFC">
        <w:rPr>
          <w:rFonts w:ascii="Helvetica" w:eastAsia="Symbol" w:hAnsi="Helvetica" w:cs="Helvetica"/>
          <w:b/>
          <w:bCs/>
          <w:color w:val="222222"/>
          <w:kern w:val="0"/>
          <w:sz w:val="21"/>
          <w:szCs w:val="21"/>
          <w:lang w:eastAsia="ru-RU"/>
        </w:rPr>
        <w:t>§ 3. Взаимодействие неравновесных участников международных отношении на межгосударственном уровне: модели «буферной системы» и «буферного комплекса».</w:t>
      </w:r>
    </w:p>
    <w:p w14:paraId="499C46FB" w14:textId="77777777" w:rsidR="00F67CFC" w:rsidRPr="00F67CFC" w:rsidRDefault="00F67CFC" w:rsidP="00F67CFC">
      <w:pPr>
        <w:rPr>
          <w:rFonts w:ascii="Helvetica" w:eastAsia="Symbol" w:hAnsi="Helvetica" w:cs="Helvetica"/>
          <w:b/>
          <w:bCs/>
          <w:color w:val="222222"/>
          <w:kern w:val="0"/>
          <w:sz w:val="21"/>
          <w:szCs w:val="21"/>
          <w:lang w:eastAsia="ru-RU"/>
        </w:rPr>
      </w:pPr>
      <w:r w:rsidRPr="00F67CFC">
        <w:rPr>
          <w:rFonts w:ascii="Helvetica" w:eastAsia="Symbol" w:hAnsi="Helvetica" w:cs="Helvetica"/>
          <w:b/>
          <w:bCs/>
          <w:color w:val="222222"/>
          <w:kern w:val="0"/>
          <w:sz w:val="21"/>
          <w:szCs w:val="21"/>
          <w:lang w:eastAsia="ru-RU"/>
        </w:rPr>
        <w:t>Глава 2. Взаимодействие Китая, Индии и Мьяимы в рамках межрегиональной подсистемы международных отношении Кнтай-Индия-ЮВА.</w:t>
      </w:r>
    </w:p>
    <w:p w14:paraId="0B5BF091" w14:textId="77777777" w:rsidR="00F67CFC" w:rsidRPr="00F67CFC" w:rsidRDefault="00F67CFC" w:rsidP="00F67CFC">
      <w:pPr>
        <w:rPr>
          <w:rFonts w:ascii="Helvetica" w:eastAsia="Symbol" w:hAnsi="Helvetica" w:cs="Helvetica"/>
          <w:b/>
          <w:bCs/>
          <w:color w:val="222222"/>
          <w:kern w:val="0"/>
          <w:sz w:val="21"/>
          <w:szCs w:val="21"/>
          <w:lang w:eastAsia="ru-RU"/>
        </w:rPr>
      </w:pPr>
      <w:r w:rsidRPr="00F67CFC">
        <w:rPr>
          <w:rFonts w:ascii="Helvetica" w:eastAsia="Symbol" w:hAnsi="Helvetica" w:cs="Helvetica"/>
          <w:b/>
          <w:bCs/>
          <w:color w:val="222222"/>
          <w:kern w:val="0"/>
          <w:sz w:val="21"/>
          <w:szCs w:val="21"/>
          <w:lang w:eastAsia="ru-RU"/>
        </w:rPr>
        <w:t>§ 1. Китайско-индийское соперничество в Юго-Восточной Азии: фактор региональной нестабильности.</w:t>
      </w:r>
    </w:p>
    <w:p w14:paraId="612894EF" w14:textId="77777777" w:rsidR="00F67CFC" w:rsidRPr="00F67CFC" w:rsidRDefault="00F67CFC" w:rsidP="00F67CFC">
      <w:pPr>
        <w:rPr>
          <w:rFonts w:ascii="Helvetica" w:eastAsia="Symbol" w:hAnsi="Helvetica" w:cs="Helvetica"/>
          <w:b/>
          <w:bCs/>
          <w:color w:val="222222"/>
          <w:kern w:val="0"/>
          <w:sz w:val="21"/>
          <w:szCs w:val="21"/>
          <w:lang w:eastAsia="ru-RU"/>
        </w:rPr>
      </w:pPr>
      <w:r w:rsidRPr="00F67CFC">
        <w:rPr>
          <w:rFonts w:ascii="Helvetica" w:eastAsia="Symbol" w:hAnsi="Helvetica" w:cs="Helvetica"/>
          <w:b/>
          <w:bCs/>
          <w:color w:val="222222"/>
          <w:kern w:val="0"/>
          <w:sz w:val="21"/>
          <w:szCs w:val="21"/>
          <w:lang w:eastAsia="ru-RU"/>
        </w:rPr>
        <w:t xml:space="preserve">§ 2. Сопротивление юговосточноазиатской «региональной среды»: фактор стабилизации региональной </w:t>
      </w:r>
      <w:proofErr w:type="gramStart"/>
      <w:r w:rsidRPr="00F67CFC">
        <w:rPr>
          <w:rFonts w:ascii="Helvetica" w:eastAsia="Symbol" w:hAnsi="Helvetica" w:cs="Helvetica"/>
          <w:b/>
          <w:bCs/>
          <w:color w:val="222222"/>
          <w:kern w:val="0"/>
          <w:sz w:val="21"/>
          <w:szCs w:val="21"/>
          <w:lang w:eastAsia="ru-RU"/>
        </w:rPr>
        <w:t>подсистемы.I</w:t>
      </w:r>
      <w:proofErr w:type="gramEnd"/>
      <w:r w:rsidRPr="00F67CFC">
        <w:rPr>
          <w:rFonts w:ascii="Helvetica" w:eastAsia="Symbol" w:hAnsi="Helvetica" w:cs="Helvetica"/>
          <w:b/>
          <w:bCs/>
          <w:color w:val="222222"/>
          <w:kern w:val="0"/>
          <w:sz w:val="21"/>
          <w:szCs w:val="21"/>
          <w:lang w:eastAsia="ru-RU"/>
        </w:rPr>
        <w:t xml:space="preserve"> К)</w:t>
      </w:r>
    </w:p>
    <w:p w14:paraId="6CE67FBF" w14:textId="77777777" w:rsidR="00F67CFC" w:rsidRPr="00F67CFC" w:rsidRDefault="00F67CFC" w:rsidP="00F67CFC">
      <w:pPr>
        <w:rPr>
          <w:rFonts w:ascii="Helvetica" w:eastAsia="Symbol" w:hAnsi="Helvetica" w:cs="Helvetica"/>
          <w:b/>
          <w:bCs/>
          <w:color w:val="222222"/>
          <w:kern w:val="0"/>
          <w:sz w:val="21"/>
          <w:szCs w:val="21"/>
          <w:lang w:eastAsia="ru-RU"/>
        </w:rPr>
      </w:pPr>
      <w:r w:rsidRPr="00F67CFC">
        <w:rPr>
          <w:rFonts w:ascii="Helvetica" w:eastAsia="Symbol" w:hAnsi="Helvetica" w:cs="Helvetica"/>
          <w:b/>
          <w:bCs/>
          <w:color w:val="222222"/>
          <w:kern w:val="0"/>
          <w:sz w:val="21"/>
          <w:szCs w:val="21"/>
          <w:lang w:eastAsia="ru-RU"/>
        </w:rPr>
        <w:t>Глава 3. Межгосударственное взаимодействие Китая, Индии и Мьинмы в рамках «буферной системы» и «буферного комплекса».</w:t>
      </w:r>
    </w:p>
    <w:p w14:paraId="61BFA3F1" w14:textId="77777777" w:rsidR="00F67CFC" w:rsidRPr="00F67CFC" w:rsidRDefault="00F67CFC" w:rsidP="00F67CFC">
      <w:pPr>
        <w:rPr>
          <w:rFonts w:ascii="Helvetica" w:eastAsia="Symbol" w:hAnsi="Helvetica" w:cs="Helvetica"/>
          <w:b/>
          <w:bCs/>
          <w:color w:val="222222"/>
          <w:kern w:val="0"/>
          <w:sz w:val="21"/>
          <w:szCs w:val="21"/>
          <w:lang w:eastAsia="ru-RU"/>
        </w:rPr>
      </w:pPr>
      <w:r w:rsidRPr="00F67CFC">
        <w:rPr>
          <w:rFonts w:ascii="Helvetica" w:eastAsia="Symbol" w:hAnsi="Helvetica" w:cs="Helvetica"/>
          <w:b/>
          <w:bCs/>
          <w:color w:val="222222"/>
          <w:kern w:val="0"/>
          <w:sz w:val="21"/>
          <w:szCs w:val="21"/>
          <w:lang w:eastAsia="ru-RU"/>
        </w:rPr>
        <w:t>§ 1. Китайское и индийское присутствие в Мьянме: вызовы национальной безопасности, стимулы национального развития.</w:t>
      </w:r>
    </w:p>
    <w:p w14:paraId="10014193" w14:textId="77777777" w:rsidR="00F67CFC" w:rsidRPr="00F67CFC" w:rsidRDefault="00F67CFC" w:rsidP="00F67CFC">
      <w:pPr>
        <w:rPr>
          <w:rFonts w:ascii="Helvetica" w:eastAsia="Symbol" w:hAnsi="Helvetica" w:cs="Helvetica"/>
          <w:b/>
          <w:bCs/>
          <w:color w:val="222222"/>
          <w:kern w:val="0"/>
          <w:sz w:val="21"/>
          <w:szCs w:val="21"/>
          <w:lang w:eastAsia="ru-RU"/>
        </w:rPr>
      </w:pPr>
      <w:r w:rsidRPr="00F67CFC">
        <w:rPr>
          <w:rFonts w:ascii="Helvetica" w:eastAsia="Symbol" w:hAnsi="Helvetica" w:cs="Helvetica"/>
          <w:b/>
          <w:bCs/>
          <w:color w:val="222222"/>
          <w:kern w:val="0"/>
          <w:sz w:val="21"/>
          <w:szCs w:val="21"/>
          <w:lang w:eastAsia="ru-RU"/>
        </w:rPr>
        <w:t>§ 2. Мьянманская политика «активного нейтралитета»: поиски устойчивого внешнеполитического равновесия.</w:t>
      </w:r>
    </w:p>
    <w:p w14:paraId="4FDAD129" w14:textId="74BA4CFE" w:rsidR="00BD642D" w:rsidRPr="00F67CFC" w:rsidRDefault="00BD642D" w:rsidP="00F67CFC"/>
    <w:sectPr w:rsidR="00BD642D" w:rsidRPr="00F67CFC"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941494" w14:textId="77777777" w:rsidR="00A2484E" w:rsidRDefault="00A2484E">
      <w:pPr>
        <w:spacing w:after="0" w:line="240" w:lineRule="auto"/>
      </w:pPr>
      <w:r>
        <w:separator/>
      </w:r>
    </w:p>
  </w:endnote>
  <w:endnote w:type="continuationSeparator" w:id="0">
    <w:p w14:paraId="4039DC1C" w14:textId="77777777" w:rsidR="00A2484E" w:rsidRDefault="00A248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EBC21D" w14:textId="77777777" w:rsidR="00A2484E" w:rsidRDefault="00A2484E"/>
    <w:p w14:paraId="49828509" w14:textId="77777777" w:rsidR="00A2484E" w:rsidRDefault="00A2484E"/>
    <w:p w14:paraId="2F369472" w14:textId="77777777" w:rsidR="00A2484E" w:rsidRDefault="00A2484E"/>
    <w:p w14:paraId="5BE99BA6" w14:textId="77777777" w:rsidR="00A2484E" w:rsidRDefault="00A2484E"/>
    <w:p w14:paraId="2C051F06" w14:textId="77777777" w:rsidR="00A2484E" w:rsidRDefault="00A2484E"/>
    <w:p w14:paraId="5B83FC59" w14:textId="77777777" w:rsidR="00A2484E" w:rsidRDefault="00A2484E"/>
    <w:p w14:paraId="7174D3FF" w14:textId="77777777" w:rsidR="00A2484E" w:rsidRDefault="00A2484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9242DFC" wp14:editId="2C04FC8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762801" w14:textId="77777777" w:rsidR="00A2484E" w:rsidRDefault="00A2484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9242DF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5762801" w14:textId="77777777" w:rsidR="00A2484E" w:rsidRDefault="00A2484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9F5CC88" w14:textId="77777777" w:rsidR="00A2484E" w:rsidRDefault="00A2484E"/>
    <w:p w14:paraId="55B450A7" w14:textId="77777777" w:rsidR="00A2484E" w:rsidRDefault="00A2484E"/>
    <w:p w14:paraId="0186E8F2" w14:textId="77777777" w:rsidR="00A2484E" w:rsidRDefault="00A2484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658BB08" wp14:editId="250C02A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57B8DE" w14:textId="77777777" w:rsidR="00A2484E" w:rsidRDefault="00A2484E"/>
                          <w:p w14:paraId="685BF0F1" w14:textId="77777777" w:rsidR="00A2484E" w:rsidRDefault="00A2484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658BB0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857B8DE" w14:textId="77777777" w:rsidR="00A2484E" w:rsidRDefault="00A2484E"/>
                    <w:p w14:paraId="685BF0F1" w14:textId="77777777" w:rsidR="00A2484E" w:rsidRDefault="00A2484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FA329F6" w14:textId="77777777" w:rsidR="00A2484E" w:rsidRDefault="00A2484E"/>
    <w:p w14:paraId="218D95FE" w14:textId="77777777" w:rsidR="00A2484E" w:rsidRDefault="00A2484E">
      <w:pPr>
        <w:rPr>
          <w:sz w:val="2"/>
          <w:szCs w:val="2"/>
        </w:rPr>
      </w:pPr>
    </w:p>
    <w:p w14:paraId="4FBFE529" w14:textId="77777777" w:rsidR="00A2484E" w:rsidRDefault="00A2484E"/>
    <w:p w14:paraId="0FC73AB7" w14:textId="77777777" w:rsidR="00A2484E" w:rsidRDefault="00A2484E">
      <w:pPr>
        <w:spacing w:after="0" w:line="240" w:lineRule="auto"/>
      </w:pPr>
    </w:p>
  </w:footnote>
  <w:footnote w:type="continuationSeparator" w:id="0">
    <w:p w14:paraId="74E846C7" w14:textId="77777777" w:rsidR="00A2484E" w:rsidRDefault="00A248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05C"/>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06"/>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4E"/>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2C"/>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91546</TotalTime>
  <Pages>1</Pages>
  <Words>229</Words>
  <Characters>1307</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1533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3546</cp:revision>
  <cp:lastPrinted>2009-02-06T05:36:00Z</cp:lastPrinted>
  <dcterms:created xsi:type="dcterms:W3CDTF">2024-01-07T13:43:00Z</dcterms:created>
  <dcterms:modified xsi:type="dcterms:W3CDTF">2025-05-08T09:45:00Z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