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7B52" w14:textId="3CFB12CD" w:rsidR="00E147FB" w:rsidRDefault="005D1CF3" w:rsidP="005D1CF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Калько Андрій Дмитрович. Обгрунтування технологічних принципів комплексного освоєння алмазоносних родовищ України: дисертація канд. техн. наук: 05.15.11 / Національний гірничий ун-т. - Д., 2003</w:t>
      </w:r>
    </w:p>
    <w:p w14:paraId="32EAEBF2" w14:textId="77777777" w:rsidR="005D1CF3" w:rsidRPr="005D1CF3" w:rsidRDefault="005D1CF3" w:rsidP="005D1C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D1CF3">
        <w:rPr>
          <w:rFonts w:ascii="Times New Roman" w:eastAsia="Times New Roman" w:hAnsi="Times New Roman" w:cs="Times New Roman"/>
          <w:color w:val="000000"/>
          <w:sz w:val="27"/>
          <w:szCs w:val="27"/>
        </w:rPr>
        <w:t>Калько А.Д. “Обгрунтування технологічних принципів комплексного освоєння алмазоносних родовищ України” . – Рукопис.</w:t>
      </w:r>
    </w:p>
    <w:p w14:paraId="796A7FAC" w14:textId="77777777" w:rsidR="005D1CF3" w:rsidRPr="005D1CF3" w:rsidRDefault="005D1CF3" w:rsidP="005D1C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D1CF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05.15.11 – “Фізичні процеси гірничого виробництва”. Національний гірничий університет, Дніпропетровськ, 2003 р.</w:t>
      </w:r>
    </w:p>
    <w:p w14:paraId="05B0E4BF" w14:textId="77777777" w:rsidR="005D1CF3" w:rsidRPr="005D1CF3" w:rsidRDefault="005D1CF3" w:rsidP="005D1C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D1CF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питанням обгрунтування технологічних принципів комплексного освоєння алмазоносних родовищ України з метою захоронення радіоактивних відходів в породах древніх геологічних формацій. На базі теоретичних досліджень обгрунтовано використання бурових установок нового покоління, що дозволить рівень втрат корисної копалини в межах контурів добувного блока знизити до 8%. Встановлено, що геологічні формації, які вміщують могильники радіоактивних відходів, здатні знижувати масштаби радіаційного впливу на оточуюче середовище.</w:t>
      </w:r>
    </w:p>
    <w:p w14:paraId="6E441F38" w14:textId="77777777" w:rsidR="005D1CF3" w:rsidRPr="005D1CF3" w:rsidRDefault="005D1CF3" w:rsidP="005D1C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D1CF3">
        <w:rPr>
          <w:rFonts w:ascii="Times New Roman" w:eastAsia="Times New Roman" w:hAnsi="Times New Roman" w:cs="Times New Roman"/>
          <w:color w:val="000000"/>
          <w:sz w:val="27"/>
          <w:szCs w:val="27"/>
        </w:rPr>
        <w:t>Виконаний аналіз різноманітних параметрів, які характеризують саркофаг у найбільш прийнятній геометричній формі. Встановлено, що гірські породи, розміщені за зовнішніми межами саркофагу, проявляють термічну активність при радіоактивному розпаді продуктів поділу відпрацьованого ядерного палива, який супроводжується тепловиділенням, з притаманними закономірностями перетворення теплової енергії в інші види в гірничих виробках, які відкривають геологічні формації.</w:t>
      </w:r>
    </w:p>
    <w:p w14:paraId="070D0EC1" w14:textId="77777777" w:rsidR="005D1CF3" w:rsidRPr="005D1CF3" w:rsidRDefault="005D1CF3" w:rsidP="005D1CF3"/>
    <w:sectPr w:rsidR="005D1CF3" w:rsidRPr="005D1C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472D4" w14:textId="77777777" w:rsidR="00F837EC" w:rsidRDefault="00F837EC">
      <w:pPr>
        <w:spacing w:after="0" w:line="240" w:lineRule="auto"/>
      </w:pPr>
      <w:r>
        <w:separator/>
      </w:r>
    </w:p>
  </w:endnote>
  <w:endnote w:type="continuationSeparator" w:id="0">
    <w:p w14:paraId="43D13530" w14:textId="77777777" w:rsidR="00F837EC" w:rsidRDefault="00F8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F0E72" w14:textId="77777777" w:rsidR="00F837EC" w:rsidRDefault="00F837EC">
      <w:pPr>
        <w:spacing w:after="0" w:line="240" w:lineRule="auto"/>
      </w:pPr>
      <w:r>
        <w:separator/>
      </w:r>
    </w:p>
  </w:footnote>
  <w:footnote w:type="continuationSeparator" w:id="0">
    <w:p w14:paraId="47EDBA5A" w14:textId="77777777" w:rsidR="00F837EC" w:rsidRDefault="00F8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37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7EC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105840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1289</cp:revision>
  <dcterms:created xsi:type="dcterms:W3CDTF">2024-06-20T08:51:00Z</dcterms:created>
  <dcterms:modified xsi:type="dcterms:W3CDTF">2024-12-25T11:29:00Z</dcterms:modified>
  <cp:category/>
</cp:coreProperties>
</file>