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1C71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Милова, Наталья Сергеевна. Механизм формирования конкурентных преимуществ российских субъектов рынка гостиничных услуг : диссертация ... кандидата экономических наук : 08.00.05 / Милова Наталья Сергеевна; [Место защиты: Рос. эконом. ун-т им. Г.В. Плеханова].- Москва, 2011.- 188 с.: ил. РГБ ОД, 61 11-8/3368</w:t>
      </w:r>
    </w:p>
    <w:p w14:paraId="02F00467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</w:p>
    <w:p w14:paraId="4CE5A5E1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</w:p>
    <w:p w14:paraId="21198701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«РОССИЙСКИЙ ЭКОНОМИЧЕСКИЙ УНИВЕРСИТЕТ им. ГБ. ПЛЕХАНОВА»</w:t>
      </w:r>
    </w:p>
    <w:p w14:paraId="6B5CE8CF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МИЛОВА НАТАЛЬЯ СЕРГЕЕВНА</w:t>
      </w:r>
    </w:p>
    <w:p w14:paraId="665C36EC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Механизм формирования конкурентных преимуществ</w:t>
      </w:r>
    </w:p>
    <w:p w14:paraId="7AB3E0F6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российских субъектов рынка гостиничных услуг</w:t>
      </w:r>
    </w:p>
    <w:p w14:paraId="61CA266A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08.00.05 - Экономика и управление народным хозяйством</w:t>
      </w:r>
    </w:p>
    <w:p w14:paraId="2330A3D3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(экономика, организация и управление предприятиями, отраслями,</w:t>
      </w:r>
    </w:p>
    <w:p w14:paraId="1C099E09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комплексами - сфера услуг, маркетинг)</w:t>
      </w:r>
    </w:p>
    <w:p w14:paraId="38008494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ДИССЕРТАЦИЯ</w:t>
      </w:r>
    </w:p>
    <w:p w14:paraId="06EAFC48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на соискание ученой степени</w:t>
      </w:r>
    </w:p>
    <w:p w14:paraId="7FDD19D0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кандидата экономических наук</w:t>
      </w:r>
    </w:p>
    <w:p w14:paraId="60344196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Москва</w:t>
      </w:r>
    </w:p>
    <w:p w14:paraId="4FC50F9A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 xml:space="preserve">2011 </w:t>
      </w:r>
    </w:p>
    <w:p w14:paraId="55F4674D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СОДЕРЖАНИЕ</w:t>
      </w:r>
    </w:p>
    <w:p w14:paraId="1C2BE571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ВВЕДЕНИЕ</w:t>
      </w:r>
      <w:r w:rsidRPr="00A93A9C">
        <w:rPr>
          <w:rFonts w:ascii="Times New Roman" w:hAnsi="Times New Roman" w:cs="Times New Roman"/>
          <w:noProof/>
          <w:sz w:val="26"/>
          <w:szCs w:val="26"/>
        </w:rPr>
        <w:tab/>
        <w:t>3</w:t>
      </w:r>
    </w:p>
    <w:p w14:paraId="5B0DEC2D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ГЛАВА 1. ТЕОРЕТИКО-МЕТОДИЧЕСКИЕ АСПЕКТЫ СОЗДАНИЯ КОНКУРЕНТНЫХ ПРЕИМУЩЕСТВ СУБЪЕКТОВ РЫНКА ГОСТИНИЧНЫХ УСЛУГ. 14</w:t>
      </w:r>
    </w:p>
    <w:p w14:paraId="402A692B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1Л. ОБОСНОВАНИЕ ПОНЯТИЯ СУБЪЕКТА РЫНКА ГОСГИІ ІИЧНЬІХ УСЛУГ И ФОРМИРОВАНИЕ ЕГО</w:t>
      </w:r>
    </w:p>
    <w:p w14:paraId="361162E6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КОНКУРЕНТНЫХ ПРЕИМУЩЕСТВ</w:t>
      </w:r>
      <w:r w:rsidRPr="00A93A9C">
        <w:rPr>
          <w:rFonts w:ascii="Times New Roman" w:hAnsi="Times New Roman" w:cs="Times New Roman"/>
          <w:noProof/>
          <w:sz w:val="26"/>
          <w:szCs w:val="26"/>
        </w:rPr>
        <w:tab/>
        <w:t>14</w:t>
      </w:r>
    </w:p>
    <w:p w14:paraId="540BE7F2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lastRenderedPageBreak/>
        <w:t>1.2.</w:t>
      </w:r>
      <w:r w:rsidRPr="00A93A9C">
        <w:rPr>
          <w:rFonts w:ascii="Times New Roman" w:hAnsi="Times New Roman" w:cs="Times New Roman"/>
          <w:noProof/>
          <w:sz w:val="26"/>
          <w:szCs w:val="26"/>
        </w:rPr>
        <w:tab/>
        <w:t>ОЦЕНКА КОНКУРЕНТОСПОСОБНОСТИ И РАЗРАБОТКА КОНКУРЕНТНЫХ СТРАТЕГИЙ</w:t>
      </w:r>
    </w:p>
    <w:p w14:paraId="67CE194F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СУБЪЕКТОВ РЫНКА ГОСТИНИЧНЫХ УСЛУГ.</w:t>
      </w:r>
      <w:r w:rsidRPr="00A93A9C">
        <w:rPr>
          <w:rFonts w:ascii="Times New Roman" w:hAnsi="Times New Roman" w:cs="Times New Roman"/>
          <w:noProof/>
          <w:sz w:val="26"/>
          <w:szCs w:val="26"/>
        </w:rPr>
        <w:tab/>
        <w:t>25</w:t>
      </w:r>
    </w:p>
    <w:p w14:paraId="68ADE934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1.3.</w:t>
      </w:r>
      <w:r w:rsidRPr="00A93A9C">
        <w:rPr>
          <w:rFonts w:ascii="Times New Roman" w:hAnsi="Times New Roman" w:cs="Times New Roman"/>
          <w:noProof/>
          <w:sz w:val="26"/>
          <w:szCs w:val="26"/>
        </w:rPr>
        <w:tab/>
        <w:t>Возможности И РИСКИ ДИВЕРСИФИЦИРОВАННОГО ВЕДЕНИЯ БИЗНЕСА НА РЫНКЕ</w:t>
      </w:r>
    </w:p>
    <w:p w14:paraId="72D8533E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ГОСТИНИЧНЫХ УСЛУГ</w:t>
      </w:r>
      <w:r w:rsidRPr="00A93A9C">
        <w:rPr>
          <w:rFonts w:ascii="Times New Roman" w:hAnsi="Times New Roman" w:cs="Times New Roman"/>
          <w:noProof/>
          <w:sz w:val="26"/>
          <w:szCs w:val="26"/>
        </w:rPr>
        <w:tab/>
        <w:t>38</w:t>
      </w:r>
    </w:p>
    <w:p w14:paraId="6FFE6C2E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1.4.</w:t>
      </w:r>
      <w:r w:rsidRPr="00A93A9C">
        <w:rPr>
          <w:rFonts w:ascii="Times New Roman" w:hAnsi="Times New Roman" w:cs="Times New Roman"/>
          <w:noProof/>
          <w:sz w:val="26"/>
          <w:szCs w:val="26"/>
        </w:rPr>
        <w:tab/>
        <w:t>ЗНАЧЕ! ІИЕ БРЕНДИНГА В СОЗДАНИИ КОНКУРЕНТНЫХ ПРЕИМУЩЕСТВ СУБЪЕКТОВ РЫНКА</w:t>
      </w:r>
    </w:p>
    <w:p w14:paraId="0E8907E4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гостиничных УСЛУГ.</w:t>
      </w:r>
      <w:r w:rsidRPr="00A93A9C">
        <w:rPr>
          <w:rFonts w:ascii="Times New Roman" w:hAnsi="Times New Roman" w:cs="Times New Roman"/>
          <w:noProof/>
          <w:sz w:val="26"/>
          <w:szCs w:val="26"/>
        </w:rPr>
        <w:tab/>
        <w:t xml:space="preserve">  48</w:t>
      </w:r>
    </w:p>
    <w:p w14:paraId="3A006DF3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ГЛАВА 2. ТЕНДЕНЦИИ РАЗВИТИЯ РОССИЙСКОГО РЫНКА ГОСТИНИЧНЫХ УСЛУГ.</w:t>
      </w:r>
      <w:r w:rsidRPr="00A93A9C">
        <w:rPr>
          <w:rFonts w:ascii="Times New Roman" w:hAnsi="Times New Roman" w:cs="Times New Roman"/>
          <w:noProof/>
          <w:sz w:val="26"/>
          <w:szCs w:val="26"/>
        </w:rPr>
        <w:tab/>
        <w:t>64</w:t>
      </w:r>
    </w:p>
    <w:p w14:paraId="3D86DEFD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2.1.</w:t>
      </w:r>
      <w:r w:rsidRPr="00A93A9C">
        <w:rPr>
          <w:rFonts w:ascii="Times New Roman" w:hAnsi="Times New Roman" w:cs="Times New Roman"/>
          <w:noProof/>
          <w:sz w:val="26"/>
          <w:szCs w:val="26"/>
        </w:rPr>
        <w:tab/>
        <w:t>АНАЛИЗ ФОРМИРОВАНИЯ РЫНКА ГОСТИНИЧНЫХ УСЛУГ</w:t>
      </w:r>
      <w:r w:rsidRPr="00A93A9C">
        <w:rPr>
          <w:rFonts w:ascii="Times New Roman" w:hAnsi="Times New Roman" w:cs="Times New Roman"/>
          <w:noProof/>
          <w:sz w:val="26"/>
          <w:szCs w:val="26"/>
        </w:rPr>
        <w:tab/>
        <w:t>64</w:t>
      </w:r>
    </w:p>
    <w:p w14:paraId="7A257655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2.2.</w:t>
      </w:r>
      <w:r w:rsidRPr="00A93A9C">
        <w:rPr>
          <w:rFonts w:ascii="Times New Roman" w:hAnsi="Times New Roman" w:cs="Times New Roman"/>
          <w:noProof/>
          <w:sz w:val="26"/>
          <w:szCs w:val="26"/>
        </w:rPr>
        <w:tab/>
        <w:t>СОВРЕМЕННЬІЕТЕІЩЕНЦИИ РАЗВИТИЯ ГОСТИНИЧНОЙ ИНДУСТРИИ</w:t>
      </w:r>
      <w:r w:rsidRPr="00A93A9C">
        <w:rPr>
          <w:rFonts w:ascii="Times New Roman" w:hAnsi="Times New Roman" w:cs="Times New Roman"/>
          <w:noProof/>
          <w:sz w:val="26"/>
          <w:szCs w:val="26"/>
        </w:rPr>
        <w:tab/>
        <w:t>75</w:t>
      </w:r>
    </w:p>
    <w:p w14:paraId="0A39A6B3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2.3.</w:t>
      </w:r>
      <w:r w:rsidRPr="00A93A9C">
        <w:rPr>
          <w:rFonts w:ascii="Times New Roman" w:hAnsi="Times New Roman" w:cs="Times New Roman"/>
          <w:noProof/>
          <w:sz w:val="26"/>
          <w:szCs w:val="26"/>
        </w:rPr>
        <w:tab/>
        <w:t>ДИАГНОСТИКА УРОВНЯ КОНКУРЕНЦИИ МЕЖДУ РОССИЙСКИМИ И ЗАРУБЕЖНЫМИ</w:t>
      </w:r>
    </w:p>
    <w:p w14:paraId="60BCD267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СУБЪЕКТАМИ РЫНКА ГОСТИНИЧНЫХ УСЛУГ</w:t>
      </w:r>
      <w:r w:rsidRPr="00A93A9C">
        <w:rPr>
          <w:rFonts w:ascii="Times New Roman" w:hAnsi="Times New Roman" w:cs="Times New Roman"/>
          <w:noProof/>
          <w:sz w:val="26"/>
          <w:szCs w:val="26"/>
        </w:rPr>
        <w:tab/>
        <w:t>89</w:t>
      </w:r>
    </w:p>
    <w:p w14:paraId="46E0AE28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ГЛАВА 3. МЕТОДИЧЕСКИЕ ПОДХОДЫ К СОЗДАНИЮ КОНКУРЕНТНЫХ</w:t>
      </w:r>
    </w:p>
    <w:p w14:paraId="34860E39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 xml:space="preserve">ПРЕИМУЩЕСТВ ДЛЯ РОССИЙСКИХ СУБЪЕКТОВ РЫНКА ГОСТИНИЧНЫХ У С ЛУГ Л 04 3.1. ОЦЕНКА УРОВНЯ КОНКУРЕНТОСПОСОБНОСТИ СУБЪЕКТОВ РЫНКА ГОСТИНИЧНЫХ УСЛУГ. </w:t>
      </w:r>
      <w:r w:rsidRPr="00A93A9C">
        <w:rPr>
          <w:rFonts w:ascii="Times New Roman" w:hAnsi="Times New Roman" w:cs="Times New Roman"/>
          <w:noProof/>
          <w:sz w:val="26"/>
          <w:szCs w:val="26"/>
        </w:rPr>
        <w:tab/>
        <w:t>104</w:t>
      </w:r>
    </w:p>
    <w:p w14:paraId="15DC6472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3.2.</w:t>
      </w:r>
      <w:r w:rsidRPr="00A93A9C">
        <w:rPr>
          <w:rFonts w:ascii="Times New Roman" w:hAnsi="Times New Roman" w:cs="Times New Roman"/>
          <w:noProof/>
          <w:sz w:val="26"/>
          <w:szCs w:val="26"/>
        </w:rPr>
        <w:tab/>
        <w:t>МЕХАНИЗМ СОЗДАНИЯ КОНКУРЕНТНЫХ ПРЕИМУЩЕСТВ НА ОСНОВЕ ФОРМИРОВАНИЯ</w:t>
      </w:r>
    </w:p>
    <w:p w14:paraId="430624AF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СИНЕРГЕТИЧЕСКОГО ЭФФЕКТА</w:t>
      </w:r>
      <w:r w:rsidRPr="00A93A9C">
        <w:rPr>
          <w:rFonts w:ascii="Times New Roman" w:hAnsi="Times New Roman" w:cs="Times New Roman"/>
          <w:noProof/>
          <w:sz w:val="26"/>
          <w:szCs w:val="26"/>
        </w:rPr>
        <w:tab/>
        <w:t>116</w:t>
      </w:r>
    </w:p>
    <w:p w14:paraId="5DBA1B0C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3.3.</w:t>
      </w:r>
      <w:r w:rsidRPr="00A93A9C">
        <w:rPr>
          <w:rFonts w:ascii="Times New Roman" w:hAnsi="Times New Roman" w:cs="Times New Roman"/>
          <w:noProof/>
          <w:sz w:val="26"/>
          <w:szCs w:val="26"/>
        </w:rPr>
        <w:tab/>
        <w:t>МЕХАІ ІИЗМ ФОРМИ РОВ AI шя КОНКУРЕНТНЫХПРЕИМУЩЕСТВ НА ОСНОВЕ СОЗДАНИЯ</w:t>
      </w:r>
    </w:p>
    <w:p w14:paraId="47AC9485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БРЕНДА РОССИЙСКОГО СУБЪЕКТА РЫНКА ГОСТИНИЧНЫХ УСЛУГ</w:t>
      </w:r>
      <w:r w:rsidRPr="00A93A9C">
        <w:rPr>
          <w:rFonts w:ascii="Times New Roman" w:hAnsi="Times New Roman" w:cs="Times New Roman"/>
          <w:noProof/>
          <w:sz w:val="26"/>
          <w:szCs w:val="26"/>
        </w:rPr>
        <w:tab/>
        <w:t>129</w:t>
      </w:r>
    </w:p>
    <w:p w14:paraId="42CA8124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ЗАКЛЮЧЕНИЕ</w:t>
      </w:r>
      <w:r w:rsidRPr="00A93A9C">
        <w:rPr>
          <w:rFonts w:ascii="Times New Roman" w:hAnsi="Times New Roman" w:cs="Times New Roman"/>
          <w:noProof/>
          <w:sz w:val="26"/>
          <w:szCs w:val="26"/>
        </w:rPr>
        <w:tab/>
        <w:t>156</w:t>
      </w:r>
    </w:p>
    <w:p w14:paraId="6DC91F36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СПИСОК ЛИТЕРАТУРЫ</w:t>
      </w:r>
      <w:r w:rsidRPr="00A93A9C">
        <w:rPr>
          <w:rFonts w:ascii="Times New Roman" w:hAnsi="Times New Roman" w:cs="Times New Roman"/>
          <w:noProof/>
          <w:sz w:val="26"/>
          <w:szCs w:val="26"/>
        </w:rPr>
        <w:tab/>
        <w:t>163</w:t>
      </w:r>
    </w:p>
    <w:p w14:paraId="57BF525A" w14:textId="77777777" w:rsidR="00A93A9C" w:rsidRPr="00A93A9C" w:rsidRDefault="00A93A9C" w:rsidP="00A93A9C">
      <w:pPr>
        <w:rPr>
          <w:rFonts w:ascii="Times New Roman" w:hAnsi="Times New Roman" w:cs="Times New Roman"/>
          <w:noProof/>
          <w:sz w:val="26"/>
          <w:szCs w:val="26"/>
        </w:rPr>
      </w:pPr>
      <w:r w:rsidRPr="00A93A9C">
        <w:rPr>
          <w:rFonts w:ascii="Times New Roman" w:hAnsi="Times New Roman" w:cs="Times New Roman"/>
          <w:noProof/>
          <w:sz w:val="26"/>
          <w:szCs w:val="26"/>
        </w:rPr>
        <w:t>ПРИЛОЖЕНИЯ</w:t>
      </w:r>
      <w:r w:rsidRPr="00A93A9C">
        <w:rPr>
          <w:rFonts w:ascii="Times New Roman" w:hAnsi="Times New Roman" w:cs="Times New Roman"/>
          <w:noProof/>
          <w:sz w:val="26"/>
          <w:szCs w:val="26"/>
        </w:rPr>
        <w:tab/>
        <w:t xml:space="preserve">179 </w:t>
      </w:r>
    </w:p>
    <w:p w14:paraId="3A10F6B3" w14:textId="16C5B762" w:rsidR="00A93A9C" w:rsidRDefault="00A93A9C" w:rsidP="00A93A9C"/>
    <w:p w14:paraId="3A18EEF0" w14:textId="46B7AF9D" w:rsidR="00A93A9C" w:rsidRDefault="00A93A9C" w:rsidP="00A93A9C"/>
    <w:p w14:paraId="40621DF4" w14:textId="77777777" w:rsidR="00A93A9C" w:rsidRDefault="00A93A9C" w:rsidP="00A93A9C">
      <w:pPr>
        <w:pStyle w:val="331"/>
        <w:keepNext/>
        <w:keepLines/>
        <w:shd w:val="clear" w:color="auto" w:fill="auto"/>
        <w:spacing w:after="370" w:line="240" w:lineRule="exact"/>
        <w:ind w:right="40"/>
      </w:pPr>
      <w:bookmarkStart w:id="0" w:name="bookmark8"/>
      <w:r>
        <w:rPr>
          <w:rStyle w:val="330"/>
          <w:b/>
          <w:bCs/>
          <w:color w:val="000000"/>
        </w:rPr>
        <w:t>ЗАКЛЮЧЕНИЕ</w:t>
      </w:r>
      <w:bookmarkEnd w:id="0"/>
    </w:p>
    <w:p w14:paraId="0F240205" w14:textId="77777777" w:rsidR="00A93A9C" w:rsidRDefault="00A93A9C" w:rsidP="00A93A9C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По оценке Всемирной туристической организации при ООН </w:t>
      </w:r>
      <w:r w:rsidRPr="00A93A9C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UNWTO</w:t>
      </w:r>
      <w:r w:rsidRPr="00A93A9C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t>туризм в России будет развиваться ускоренными темпами, а больше всего туристов будет принимать Москва: в 2020 году ожидается около 9 млн. человек Таким образом, к 2020 году Россия может войти в первую десятку стран - самых популярных направлений туризма</w:t>
      </w:r>
      <w:r>
        <w:rPr>
          <w:rStyle w:val="21"/>
          <w:color w:val="000000"/>
          <w:vertAlign w:val="superscript"/>
        </w:rPr>
        <w:footnoteReference w:id="1"/>
      </w:r>
      <w:r>
        <w:rPr>
          <w:rStyle w:val="21"/>
          <w:color w:val="000000"/>
        </w:rPr>
        <w:t>.</w:t>
      </w:r>
    </w:p>
    <w:p w14:paraId="736E2E43" w14:textId="77777777" w:rsidR="00A93A9C" w:rsidRDefault="00A93A9C" w:rsidP="00A93A9C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Тем не менее, в настоящий момент по обеспеченности качественными гостиничными номерами Москва заметно отстает от других европейских столиц. Так, в Лондоне и Париже объем современного гостиничного фонда составляет примерно 70 тыс. номеров, в Москве - менее 40 тыс. Особенно характерен для Москвы дефицит номерного фонда в качественных современных гостиницах средней ценовой категории 3 звезды. По причине недостаточного количества номеров, стоимость размещения в гостиницах Москвы самая высокая в мире (примерно 12,3 тысячи рублей). В Санкт-Петербурге, который занимает второе место по количеству гостиниц, уровень обеспеченности гостиничными номерами составляет 6 номеров на 1000 жителей.</w:t>
      </w:r>
      <w:r>
        <w:rPr>
          <w:rStyle w:val="21"/>
          <w:color w:val="000000"/>
          <w:vertAlign w:val="superscript"/>
        </w:rPr>
        <w:footnoteReference w:id="2"/>
      </w:r>
    </w:p>
    <w:p w14:paraId="64F1C63C" w14:textId="77777777" w:rsidR="00A93A9C" w:rsidRDefault="00A93A9C" w:rsidP="00A93A9C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Финансовый кризис в значительной степени повлиял на рынок </w:t>
      </w:r>
      <w:r>
        <w:rPr>
          <w:rStyle w:val="21"/>
          <w:color w:val="000000"/>
        </w:rPr>
        <w:lastRenderedPageBreak/>
        <w:t xml:space="preserve">гостиничных услуг. В конце 2008 года деловая активность, а с ней и поток туристов существенно сократились. Гостиничный сегмент отреагировал на проявления финансового кризиса резким снижением цены проживания и доходности номера. По данным компании </w:t>
      </w:r>
      <w:r>
        <w:rPr>
          <w:rStyle w:val="21"/>
          <w:color w:val="000000"/>
          <w:lang w:val="en-US" w:eastAsia="en-US"/>
        </w:rPr>
        <w:t>Knight</w:t>
      </w:r>
      <w:r w:rsidRPr="00A93A9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Frank</w:t>
      </w:r>
      <w:r w:rsidRPr="00A93A9C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>общий эффект от снижения загрузки номеров и стоимости размещения привел в среднем к двукратному сокращению выручки гостиниц от использования номерного фонда.</w:t>
      </w:r>
      <w:r>
        <w:rPr>
          <w:rStyle w:val="21"/>
          <w:color w:val="000000"/>
          <w:vertAlign w:val="superscript"/>
        </w:rPr>
        <w:footnoteReference w:id="3"/>
      </w:r>
    </w:p>
    <w:p w14:paraId="2A4EDC6A" w14:textId="77777777" w:rsidR="00A93A9C" w:rsidRDefault="00A93A9C" w:rsidP="00A93A9C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Однако спад интереса продолжался недолго: уже в 2009 году эксперты отмечали рост привлекательности российского гостиничного рынка для инвесторов</w:t>
      </w:r>
      <w:r>
        <w:rPr>
          <w:rStyle w:val="21"/>
          <w:color w:val="000000"/>
        </w:rPr>
        <w:br w:type="page"/>
      </w:r>
      <w:r>
        <w:rPr>
          <w:rStyle w:val="21"/>
          <w:color w:val="000000"/>
        </w:rPr>
        <w:lastRenderedPageBreak/>
        <w:t>и международных операторов. Несмотря на финансовый кризис, низкая конкуренция в сегменте гостиничной недвижимости и высокая стоимость проживания, а также большой потенциал российского рынка гостиничной недвижимости продолжают привлекать на российский рынок крупнейших мировых игроков.</w:t>
      </w:r>
    </w:p>
    <w:p w14:paraId="2E6AA893" w14:textId="0C9B6501" w:rsidR="00A93A9C" w:rsidRDefault="00A93A9C" w:rsidP="00A93A9C">
      <w:pPr>
        <w:pStyle w:val="210"/>
        <w:shd w:val="clear" w:color="auto" w:fill="auto"/>
        <w:spacing w:line="475" w:lineRule="exact"/>
        <w:ind w:firstLine="700"/>
        <w:jc w:val="both"/>
      </w:pPr>
      <w:r>
        <w:rPr>
          <w:noProof/>
        </w:rPr>
        <mc:AlternateContent>
          <mc:Choice Requires="wps">
            <w:drawing>
              <wp:anchor distT="0" distB="296545" distL="63500" distR="63500" simplePos="0" relativeHeight="251659264" behindDoc="1" locked="0" layoutInCell="1" allowOverlap="1" wp14:anchorId="6667DCA4" wp14:editId="587B488E">
                <wp:simplePos x="0" y="0"/>
                <wp:positionH relativeFrom="margin">
                  <wp:posOffset>24130</wp:posOffset>
                </wp:positionH>
                <wp:positionV relativeFrom="margin">
                  <wp:posOffset>9152890</wp:posOffset>
                </wp:positionV>
                <wp:extent cx="146050" cy="76200"/>
                <wp:effectExtent l="0" t="4445" r="0" b="0"/>
                <wp:wrapSquare wrapText="right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8639C" w14:textId="77777777" w:rsidR="00A93A9C" w:rsidRDefault="00A93A9C" w:rsidP="00A93A9C">
                            <w:pPr>
                              <w:pStyle w:val="430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43Exact"/>
                                <w:color w:val="000000"/>
                              </w:rPr>
                              <w:t>162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7DCA4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.9pt;margin-top:720.7pt;width:11.5pt;height:6pt;z-index:-251657216;visibility:visible;mso-wrap-style:square;mso-width-percent:0;mso-height-percent:0;mso-wrap-distance-left:5pt;mso-wrap-distance-top:0;mso-wrap-distance-right:5pt;mso-wrap-distance-bottom:23.3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" filled="f" stroked="f">
                <v:textbox style="mso-fit-shape-to-text:t" inset="0,0,0,0">
                  <w:txbxContent>
                    <w:p w14:paraId="3988639C" w14:textId="77777777" w:rsidR="00A93A9C" w:rsidRDefault="00A93A9C" w:rsidP="00A93A9C">
                      <w:pPr>
                        <w:pStyle w:val="430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43Exact"/>
                          <w:color w:val="000000"/>
                        </w:rPr>
                        <w:t>162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rStyle w:val="21"/>
          <w:color w:val="000000"/>
        </w:rPr>
        <w:t>Особенностями рынка гостиничных услуг России являются его наибольшая концентрация в Москве, Санкт-Петербурге и прогнозируемая дальнейшая экспансия иностранных отельных операторов.</w:t>
      </w:r>
    </w:p>
    <w:p w14:paraId="4CD1CF9E" w14:textId="77777777" w:rsidR="00A93A9C" w:rsidRDefault="00A93A9C" w:rsidP="00A93A9C">
      <w:pPr>
        <w:pStyle w:val="210"/>
        <w:shd w:val="clear" w:color="auto" w:fill="auto"/>
        <w:spacing w:line="475" w:lineRule="exact"/>
        <w:ind w:firstLine="700"/>
        <w:jc w:val="both"/>
      </w:pPr>
      <w:r>
        <w:rPr>
          <w:rStyle w:val="21"/>
          <w:color w:val="000000"/>
        </w:rPr>
        <w:t>Выводы и предложения, отражающие логику исследования, изложены в соответствующих главах диссертационного исследования. Вместе с тем, на защиту выносятся наиболее важные из них.</w:t>
      </w:r>
    </w:p>
    <w:p w14:paraId="2816AD6D" w14:textId="77777777" w:rsidR="00A93A9C" w:rsidRDefault="00A93A9C" w:rsidP="00A93A9C">
      <w:pPr>
        <w:pStyle w:val="210"/>
        <w:shd w:val="clear" w:color="auto" w:fill="auto"/>
        <w:spacing w:line="475" w:lineRule="exact"/>
        <w:ind w:firstLine="700"/>
        <w:jc w:val="both"/>
      </w:pPr>
      <w:r>
        <w:rPr>
          <w:rStyle w:val="21"/>
          <w:color w:val="000000"/>
        </w:rPr>
        <w:t>В кризис определяющим фактором при выборе отеля становится гарантированно высокий уровень сервиса: клиенты хотят быть уверены в том, что за потраченные деньги получат качественное обслуживание.</w:t>
      </w:r>
    </w:p>
    <w:p w14:paraId="0907FDF3" w14:textId="77777777" w:rsidR="00A93A9C" w:rsidRDefault="00A93A9C" w:rsidP="00A93A9C">
      <w:pPr>
        <w:pStyle w:val="210"/>
        <w:shd w:val="clear" w:color="auto" w:fill="auto"/>
        <w:spacing w:line="475" w:lineRule="exact"/>
        <w:ind w:firstLine="700"/>
        <w:jc w:val="both"/>
      </w:pPr>
      <w:r>
        <w:rPr>
          <w:rStyle w:val="21"/>
          <w:color w:val="000000"/>
        </w:rPr>
        <w:t xml:space="preserve">Игроки гостиничного рынка предпринимают дополнительные меры по сокращению издержек и стимулированию спроса: кроме снижения стоимости размещения были осуществлены и другие мероприятия. Так, многие гостиницы переориентировались на новые клиентские ниши (особенно в гостиницах верхнего ценового сегмента), вводили поощрительные и бонусные программы, предоставляли дополнительных услуги. В большинстве отелей выросла доля прямых продаж, гостиницы привлекали постояльцев расширением услуг: </w:t>
      </w:r>
      <w:r>
        <w:rPr>
          <w:rStyle w:val="21"/>
          <w:color w:val="000000"/>
        </w:rPr>
        <w:lastRenderedPageBreak/>
        <w:t>бесплатным интернетом, размещением в номерах более высокой категории при сохранении стоимости, дополнительным питанием.</w:t>
      </w:r>
      <w:r>
        <w:rPr>
          <w:rStyle w:val="21"/>
          <w:color w:val="000000"/>
          <w:vertAlign w:val="superscript"/>
        </w:rPr>
        <w:footnoteReference w:id="4"/>
      </w:r>
    </w:p>
    <w:p w14:paraId="12A61478" w14:textId="77777777" w:rsidR="00A93A9C" w:rsidRDefault="00A93A9C" w:rsidP="00A93A9C">
      <w:pPr>
        <w:pStyle w:val="210"/>
        <w:shd w:val="clear" w:color="auto" w:fill="auto"/>
        <w:spacing w:line="475" w:lineRule="exact"/>
        <w:ind w:firstLine="700"/>
        <w:jc w:val="both"/>
      </w:pPr>
      <w:r>
        <w:rPr>
          <w:rStyle w:val="21"/>
          <w:color w:val="000000"/>
        </w:rPr>
        <w:t>Таким образом, гостиничные предприятия реагируют на изменения рыночной среды, предлагая новые или изменяя уже действующие бизнес-стратегии. Автор в диссертационной работе провел анализ существующих определений гостиничного предприятия и не нашел среди них дефиниций, которые определяли бы действия отелей в изменяющихся рыночных условиях. В связи с этим вводится понятие субъекта рынка гостиничных услуг (сокращенно СРГУ), которое отличается от</w:t>
      </w:r>
      <w:r>
        <w:rPr>
          <w:rStyle w:val="21"/>
          <w:color w:val="000000"/>
        </w:rPr>
        <w:br w:type="page"/>
      </w:r>
      <w:r>
        <w:rPr>
          <w:rStyle w:val="21"/>
          <w:color w:val="000000"/>
        </w:rPr>
        <w:lastRenderedPageBreak/>
        <w:t>существующих тем, что гостиничное предприятие рассматривается «активным игроком рынка», в данном случае гостиничного рынка. Активный игрок, по мнению автора, это гостиничное предприятие постоянно следящее за изменением рыночных условий и предпринимающее свою экономическую деятельность с учетом этих изменений.</w:t>
      </w:r>
    </w:p>
    <w:p w14:paraId="086BF41F" w14:textId="77777777" w:rsidR="00A93A9C" w:rsidRDefault="00A93A9C" w:rsidP="00A93A9C">
      <w:pPr>
        <w:pStyle w:val="210"/>
        <w:shd w:val="clear" w:color="auto" w:fill="auto"/>
        <w:spacing w:line="475" w:lineRule="exact"/>
        <w:ind w:firstLine="700"/>
        <w:jc w:val="both"/>
      </w:pPr>
      <w:r>
        <w:rPr>
          <w:rStyle w:val="21"/>
          <w:color w:val="000000"/>
        </w:rPr>
        <w:t>Выявлены следующие основные тенденции российского рынка гостиничных услуг: негативное влияние кризиса 2008 г., когда многие отельеры приостановили реализацию программ развития своего гостиничного бизнеса, длительные сроки окупаемости проектов, сложности финансирования проектов, отсутствие обязательной классификации звездности, дефицит квалифицированных кадров и дефицит территории. Наибольший спрос существует на отели три звезды. Но инвесторы и девелоперы не стремятся строить СРГУ такой звездности, предпочитая строить отели классности четырех и пяти звезд.</w:t>
      </w:r>
    </w:p>
    <w:p w14:paraId="30810967" w14:textId="77777777" w:rsidR="00A93A9C" w:rsidRDefault="00A93A9C" w:rsidP="00A93A9C">
      <w:pPr>
        <w:pStyle w:val="210"/>
        <w:shd w:val="clear" w:color="auto" w:fill="auto"/>
        <w:spacing w:line="475" w:lineRule="exact"/>
        <w:ind w:firstLine="700"/>
        <w:jc w:val="both"/>
      </w:pPr>
      <w:r>
        <w:rPr>
          <w:rStyle w:val="21"/>
          <w:color w:val="000000"/>
        </w:rPr>
        <w:t xml:space="preserve">Наряду с проникновением на рынок РФ международных гостиничных сетей, сформировались и российские гостиничные цепи, крупнейшими из которых являются: «Азимут Сеть отелей», </w:t>
      </w:r>
      <w:r>
        <w:rPr>
          <w:rStyle w:val="21"/>
          <w:color w:val="000000"/>
          <w:lang w:val="en-US" w:eastAsia="en-US"/>
        </w:rPr>
        <w:t xml:space="preserve">«Amaks Hotels </w:t>
      </w:r>
      <w:r>
        <w:rPr>
          <w:rStyle w:val="21"/>
          <w:color w:val="000000"/>
        </w:rPr>
        <w:t xml:space="preserve">&amp; </w:t>
      </w:r>
      <w:r>
        <w:rPr>
          <w:rStyle w:val="21"/>
          <w:color w:val="000000"/>
          <w:lang w:val="en-US" w:eastAsia="en-US"/>
        </w:rPr>
        <w:t xml:space="preserve">Resorts»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en-US" w:eastAsia="en-US"/>
        </w:rPr>
        <w:t xml:space="preserve">«Intourist Hotels Group». </w:t>
      </w:r>
      <w:r>
        <w:rPr>
          <w:rStyle w:val="21"/>
          <w:color w:val="000000"/>
        </w:rPr>
        <w:t xml:space="preserve">К сожалению, по многим критериям российские СРГУ не могут конкурировать с иностранными гостиничными предприятиями, например, качество предоставляемых услуг зачастую остается очень низким, а цена на них сопоставима с ценой в отеле под известным западным брендом. Логично, что туристы предпочитают останавливаться в гостиницах с более выгодным для них соотношением «цена-качество услуг». Конечно, российским гостиничным предприятиям необходимо повышать качество предоставления услуг. Но </w:t>
      </w:r>
      <w:r>
        <w:rPr>
          <w:rStyle w:val="21"/>
          <w:color w:val="000000"/>
        </w:rPr>
        <w:lastRenderedPageBreak/>
        <w:t>возникает вопрос, в чем отечественные предприятия гостиничной индустрии могут быть уникальными для своих гостей, какие конкурентные преимущества необходимо создать, какие для этого есть предпосылки во внешней и внутренней среде. Автор выдвинул гипотезу, что конкурентные преимущества российским гостиничным сетям и независимым отелям целесообразно формировать в направлении развития новых дополнительных услуг для новых сегментов клиентов, а также в создании и управлении брендом СРГУ.</w:t>
      </w:r>
    </w:p>
    <w:p w14:paraId="61527A79" w14:textId="77777777" w:rsidR="00A93A9C" w:rsidRDefault="00A93A9C" w:rsidP="00A93A9C">
      <w:pPr>
        <w:pStyle w:val="210"/>
        <w:shd w:val="clear" w:color="auto" w:fill="auto"/>
        <w:spacing w:line="475" w:lineRule="exact"/>
        <w:ind w:firstLine="680"/>
        <w:jc w:val="both"/>
      </w:pPr>
      <w:r>
        <w:rPr>
          <w:rStyle w:val="21"/>
          <w:color w:val="000000"/>
        </w:rPr>
        <w:t>На основании доступных разрозненных и противоречащих друг другу данных российского рынка гостиничных услуг и деятельности отелей автор провел сравнительный анализ конкурентных преимуществ российских и иностранных СРГУ и выделил основные направления формирования конкурентных преимуществ для российских субъектов рынка гостиничных услуг в сравнение с международными: 1) более быстрое введение дополнительных услуг; 2) более гибкая ценовая политика; 3) возможность принятия решений на месте, без долгих согласований с головным офисом.</w:t>
      </w:r>
    </w:p>
    <w:p w14:paraId="34316DCB" w14:textId="77777777" w:rsidR="00A93A9C" w:rsidRDefault="00A93A9C" w:rsidP="00A93A9C">
      <w:pPr>
        <w:pStyle w:val="210"/>
        <w:shd w:val="clear" w:color="auto" w:fill="auto"/>
        <w:tabs>
          <w:tab w:val="left" w:pos="4179"/>
          <w:tab w:val="right" w:pos="9448"/>
        </w:tabs>
        <w:spacing w:line="475" w:lineRule="exact"/>
        <w:ind w:firstLine="680"/>
        <w:jc w:val="both"/>
      </w:pPr>
      <w:r>
        <w:rPr>
          <w:rStyle w:val="21"/>
          <w:color w:val="000000"/>
        </w:rPr>
        <w:t>Для подтверждения гипотезы автором разработана модель комплексной оценки конкурентоспособности субъекта рынка гостиничных услуг, с помощью которой предлагается автоматизировать процесс оценки и повысить конкурентоспособность российских субъектов рынка гостиничных услуг. Автор предлагает разделять конкурентные преимущества на стратегические и тактические для повышения значимости первых путем присвоения им большего весового коэффициента. Рассматриваются</w:t>
      </w:r>
      <w:r>
        <w:rPr>
          <w:rStyle w:val="21"/>
          <w:color w:val="000000"/>
        </w:rPr>
        <w:tab/>
        <w:t>следующие стратегические</w:t>
      </w:r>
      <w:r>
        <w:rPr>
          <w:rStyle w:val="21"/>
          <w:color w:val="000000"/>
        </w:rPr>
        <w:tab/>
        <w:t>конкурентные</w:t>
      </w:r>
    </w:p>
    <w:p w14:paraId="674DC58F" w14:textId="77777777" w:rsidR="00A93A9C" w:rsidRDefault="00A93A9C" w:rsidP="00A93A9C">
      <w:pPr>
        <w:pStyle w:val="210"/>
        <w:shd w:val="clear" w:color="auto" w:fill="auto"/>
        <w:spacing w:line="475" w:lineRule="exact"/>
        <w:ind w:firstLine="0"/>
        <w:jc w:val="both"/>
      </w:pPr>
      <w:r>
        <w:rPr>
          <w:rStyle w:val="21"/>
          <w:color w:val="000000"/>
        </w:rPr>
        <w:lastRenderedPageBreak/>
        <w:t>преимущества: 1) стратегия развития; 2) новые направления бизнеса; 3) географический размах деятельности; 4) разработка и внедрение бренда; и тактические конкурентные преимущества: 1) качество оказания услуг клиентам; 2) степень лояльности клиентов; 3) уровень профессиональной подготовки кадров; 4) ценообразование для различных сегментов; 5) программа продвижения и прочие.</w:t>
      </w:r>
    </w:p>
    <w:p w14:paraId="2DA0DD5C" w14:textId="77777777" w:rsidR="00A93A9C" w:rsidRDefault="00A93A9C" w:rsidP="00A93A9C">
      <w:pPr>
        <w:pStyle w:val="210"/>
        <w:shd w:val="clear" w:color="auto" w:fill="auto"/>
        <w:tabs>
          <w:tab w:val="right" w:pos="4121"/>
          <w:tab w:val="right" w:pos="7587"/>
          <w:tab w:val="right" w:pos="9448"/>
        </w:tabs>
        <w:spacing w:line="475" w:lineRule="exact"/>
        <w:ind w:firstLine="680"/>
        <w:jc w:val="both"/>
      </w:pPr>
      <w:r>
        <w:rPr>
          <w:rStyle w:val="21"/>
          <w:color w:val="000000"/>
        </w:rPr>
        <w:t>Анализируя</w:t>
      </w:r>
      <w:r>
        <w:rPr>
          <w:rStyle w:val="21"/>
          <w:color w:val="000000"/>
        </w:rPr>
        <w:tab/>
        <w:t>влияние стратегических и</w:t>
      </w:r>
      <w:r>
        <w:rPr>
          <w:rStyle w:val="21"/>
          <w:color w:val="000000"/>
        </w:rPr>
        <w:tab/>
        <w:t>тактических</w:t>
      </w:r>
      <w:r>
        <w:rPr>
          <w:rStyle w:val="21"/>
          <w:color w:val="000000"/>
        </w:rPr>
        <w:tab/>
        <w:t>конкурентных</w:t>
      </w:r>
    </w:p>
    <w:p w14:paraId="0F58E72B" w14:textId="77777777" w:rsidR="00A93A9C" w:rsidRDefault="00A93A9C" w:rsidP="00A93A9C">
      <w:pPr>
        <w:pStyle w:val="210"/>
        <w:shd w:val="clear" w:color="auto" w:fill="auto"/>
        <w:tabs>
          <w:tab w:val="right" w:pos="4121"/>
          <w:tab w:val="left" w:pos="4254"/>
          <w:tab w:val="right" w:pos="7587"/>
          <w:tab w:val="right" w:pos="9448"/>
        </w:tabs>
        <w:spacing w:line="475" w:lineRule="exact"/>
        <w:ind w:firstLine="0"/>
        <w:jc w:val="both"/>
      </w:pPr>
      <w:r>
        <w:rPr>
          <w:rStyle w:val="21"/>
          <w:color w:val="000000"/>
        </w:rPr>
        <w:t>преимуществ на</w:t>
      </w:r>
      <w:r>
        <w:rPr>
          <w:rStyle w:val="21"/>
          <w:color w:val="000000"/>
        </w:rPr>
        <w:tab/>
        <w:t>деятельность</w:t>
      </w:r>
      <w:r>
        <w:rPr>
          <w:rStyle w:val="21"/>
          <w:color w:val="000000"/>
        </w:rPr>
        <w:tab/>
        <w:t>СРГУ, автор</w:t>
      </w:r>
      <w:r>
        <w:rPr>
          <w:rStyle w:val="21"/>
          <w:color w:val="000000"/>
        </w:rPr>
        <w:tab/>
        <w:t>пришел к</w:t>
      </w:r>
      <w:r>
        <w:rPr>
          <w:rStyle w:val="21"/>
          <w:color w:val="000000"/>
        </w:rPr>
        <w:tab/>
        <w:t>выводу, что</w:t>
      </w:r>
    </w:p>
    <w:p w14:paraId="60A920CE" w14:textId="77777777" w:rsidR="00A93A9C" w:rsidRDefault="00A93A9C" w:rsidP="00A93A9C">
      <w:pPr>
        <w:pStyle w:val="210"/>
        <w:shd w:val="clear" w:color="auto" w:fill="auto"/>
        <w:spacing w:line="475" w:lineRule="exact"/>
        <w:ind w:firstLine="0"/>
        <w:jc w:val="both"/>
      </w:pPr>
      <w:r>
        <w:rPr>
          <w:rStyle w:val="21"/>
          <w:color w:val="000000"/>
        </w:rPr>
        <w:t xml:space="preserve">конкурентоспособность деятельности выше у тех гостиничных предприятий, которые инвестируют в новые направления бизнеса, разрабатывают, внедряют и продвигают собственный бренд. Модель апробирована на практике в нескольких российских отелях </w:t>
      </w:r>
      <w:r w:rsidRPr="00A93A9C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Korston</w:t>
      </w:r>
      <w:r w:rsidRPr="00A93A9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Hotel</w:t>
      </w:r>
      <w:r w:rsidRPr="00A93A9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Moscow</w:t>
      </w:r>
      <w:r w:rsidRPr="00A93A9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en-US" w:eastAsia="en-US"/>
        </w:rPr>
        <w:t>Savoy</w:t>
      </w:r>
      <w:r w:rsidRPr="00A93A9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Hotel</w:t>
      </w:r>
      <w:r w:rsidRPr="00A93A9C">
        <w:rPr>
          <w:rStyle w:val="21"/>
          <w:color w:val="000000"/>
          <w:lang w:eastAsia="en-US"/>
        </w:rPr>
        <w:t>).</w:t>
      </w:r>
    </w:p>
    <w:p w14:paraId="535C63EA" w14:textId="77777777" w:rsidR="00A93A9C" w:rsidRDefault="00A93A9C" w:rsidP="00A93A9C">
      <w:pPr>
        <w:pStyle w:val="210"/>
        <w:shd w:val="clear" w:color="auto" w:fill="auto"/>
        <w:tabs>
          <w:tab w:val="right" w:pos="4121"/>
          <w:tab w:val="left" w:pos="4258"/>
          <w:tab w:val="right" w:pos="7587"/>
          <w:tab w:val="right" w:pos="9448"/>
        </w:tabs>
        <w:spacing w:line="475" w:lineRule="exact"/>
        <w:ind w:firstLine="680"/>
        <w:jc w:val="both"/>
      </w:pPr>
      <w:r>
        <w:rPr>
          <w:rStyle w:val="21"/>
          <w:color w:val="000000"/>
        </w:rPr>
        <w:t>Результаты анализа данных российского гостиничного рынка и модели комплексной оценки конкурентоспособности СРГУ позволили автору остановится на более подробном рассмотрении двух направлений создания конкурентных преимуществ для</w:t>
      </w:r>
      <w:r>
        <w:rPr>
          <w:rStyle w:val="21"/>
          <w:color w:val="000000"/>
        </w:rPr>
        <w:tab/>
        <w:t>российских</w:t>
      </w:r>
      <w:r>
        <w:rPr>
          <w:rStyle w:val="21"/>
          <w:color w:val="000000"/>
        </w:rPr>
        <w:tab/>
        <w:t>гостиничных</w:t>
      </w:r>
      <w:r>
        <w:rPr>
          <w:rStyle w:val="21"/>
          <w:color w:val="000000"/>
        </w:rPr>
        <w:tab/>
        <w:t>предприятий:</w:t>
      </w:r>
      <w:r>
        <w:rPr>
          <w:rStyle w:val="21"/>
          <w:color w:val="000000"/>
        </w:rPr>
        <w:tab/>
        <w:t xml:space="preserve">1) развитие дополнительных услуг для привлечения новых сегментов клиентов; 2) создание и управление брендом СРГУ. На основании данных стратегий в диссертационной работе описывается механизм формирования конкурентных преимуществ на примере российской </w:t>
      </w:r>
      <w:r>
        <w:rPr>
          <w:rStyle w:val="21"/>
          <w:color w:val="000000"/>
        </w:rPr>
        <w:lastRenderedPageBreak/>
        <w:t xml:space="preserve">гостиничной сети </w:t>
      </w:r>
      <w:r>
        <w:rPr>
          <w:rStyle w:val="21"/>
          <w:color w:val="000000"/>
          <w:lang w:val="en-US" w:eastAsia="en-US"/>
        </w:rPr>
        <w:t>Korston</w:t>
      </w:r>
      <w:r w:rsidRPr="00A93A9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Hotel</w:t>
      </w:r>
      <w:r w:rsidRPr="00A93A9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&amp; </w:t>
      </w:r>
      <w:r>
        <w:rPr>
          <w:rStyle w:val="21"/>
          <w:color w:val="000000"/>
          <w:lang w:val="en-US" w:eastAsia="en-US"/>
        </w:rPr>
        <w:t>Mall</w:t>
      </w:r>
      <w:r w:rsidRPr="00A93A9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(в частности отелей </w:t>
      </w:r>
      <w:r>
        <w:rPr>
          <w:rStyle w:val="21"/>
          <w:color w:val="000000"/>
          <w:lang w:val="en-US" w:eastAsia="en-US"/>
        </w:rPr>
        <w:t>Korston</w:t>
      </w:r>
      <w:r w:rsidRPr="00A93A9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Hotel</w:t>
      </w:r>
      <w:r w:rsidRPr="00A93A9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Moscow</w:t>
      </w:r>
      <w:r w:rsidRPr="00A93A9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в Москве и </w:t>
      </w:r>
      <w:r>
        <w:rPr>
          <w:rStyle w:val="21"/>
          <w:color w:val="000000"/>
          <w:lang w:val="en-US" w:eastAsia="en-US"/>
        </w:rPr>
        <w:t>Korston</w:t>
      </w:r>
      <w:r w:rsidRPr="00A93A9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Hotel</w:t>
      </w:r>
      <w:r w:rsidRPr="00A93A9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&amp; </w:t>
      </w:r>
      <w:r>
        <w:rPr>
          <w:rStyle w:val="21"/>
          <w:color w:val="000000"/>
          <w:lang w:val="en-US" w:eastAsia="en-US"/>
        </w:rPr>
        <w:t>Mall</w:t>
      </w:r>
      <w:r w:rsidRPr="00A93A9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Kazan</w:t>
      </w:r>
      <w:r w:rsidRPr="00A93A9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в Казани). Под механизмом формирования конкурентных преимуществ автор предлагает рассматривать систему стратегических и тактических действий СРГУ, определяющую порядок создания ценностей предоставляемых им товаров или услуг и позволяющую обеспечить его выживание в постоянно нарастающей конкурентной борьбе.</w:t>
      </w:r>
    </w:p>
    <w:p w14:paraId="1A71E320" w14:textId="77777777" w:rsidR="00A93A9C" w:rsidRDefault="00A93A9C" w:rsidP="00A93A9C">
      <w:pPr>
        <w:pStyle w:val="210"/>
        <w:shd w:val="clear" w:color="auto" w:fill="auto"/>
        <w:spacing w:line="475" w:lineRule="exact"/>
        <w:ind w:firstLine="720"/>
        <w:jc w:val="both"/>
      </w:pPr>
      <w:r>
        <w:rPr>
          <w:rStyle w:val="21"/>
          <w:color w:val="000000"/>
        </w:rPr>
        <w:t xml:space="preserve">Обоснована целесообразность и предложены направления создания конкурентных преимуществ российских СРГУ с помощью развития дополнительных услуг для привлечения новых сегментов клиентов. В диссертационной работе рассматривается применение стратегии центрированной диверсификации, которая базируется на поиске и использовании заключенных в существующем бизнесе дополнительных возможностей для производства новых услуг. При этом существующие услуги остаются в центре бизнеса, а новые возникают, исходя из тех возможностей, которые заключены в освоенном рынке, используемой технологии либо же в других сильных сторонах функционирования СРГУ. При использовании в СРГУ диверсифицированного роста необходимо формировать конкурентные преимущества путем постепенного образования взаимосвязанных, оказывающих друг другу поддержку бизнес-единиц. Для достижения конкурентных преимуществ СРГУ необходимо разрабатывать стратегию конкурентоспособности для всей группы бизнес-единиц, обеспечивая тем самым эффект синергизма за счет правильного позиционирования данной группы. Полагая, что сочетание диверсифицированного роста обеспечивает конкурентоспособность СРГУ на основе синергетического эффекта, разработаны направления конкурентных преимуществ в гостиничном бизнесе путем создания эффекта синергии, заключающегося в комбинации продуктового, рыночного и отраслевого </w:t>
      </w:r>
      <w:r>
        <w:rPr>
          <w:rStyle w:val="21"/>
          <w:color w:val="000000"/>
        </w:rPr>
        <w:lastRenderedPageBreak/>
        <w:t>синергизма.</w:t>
      </w:r>
    </w:p>
    <w:p w14:paraId="0FD8F30E" w14:textId="77777777" w:rsidR="00A93A9C" w:rsidRPr="00A93A9C" w:rsidRDefault="00A93A9C" w:rsidP="00A93A9C"/>
    <w:sectPr w:rsidR="00A93A9C" w:rsidRPr="00A93A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8FD69" w14:textId="77777777" w:rsidR="005A0B5B" w:rsidRDefault="005A0B5B">
      <w:pPr>
        <w:spacing w:after="0" w:line="240" w:lineRule="auto"/>
      </w:pPr>
      <w:r>
        <w:separator/>
      </w:r>
    </w:p>
  </w:endnote>
  <w:endnote w:type="continuationSeparator" w:id="0">
    <w:p w14:paraId="20305707" w14:textId="77777777" w:rsidR="005A0B5B" w:rsidRDefault="005A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FD514" w14:textId="77777777" w:rsidR="005A0B5B" w:rsidRDefault="005A0B5B">
      <w:pPr>
        <w:spacing w:after="0" w:line="240" w:lineRule="auto"/>
      </w:pPr>
      <w:r>
        <w:separator/>
      </w:r>
    </w:p>
  </w:footnote>
  <w:footnote w:type="continuationSeparator" w:id="0">
    <w:p w14:paraId="262C550B" w14:textId="77777777" w:rsidR="005A0B5B" w:rsidRDefault="005A0B5B">
      <w:pPr>
        <w:spacing w:after="0" w:line="240" w:lineRule="auto"/>
      </w:pPr>
      <w:r>
        <w:continuationSeparator/>
      </w:r>
    </w:p>
  </w:footnote>
  <w:footnote w:id="1">
    <w:p w14:paraId="1E22F14F" w14:textId="77777777" w:rsidR="00A93A9C" w:rsidRDefault="00A93A9C" w:rsidP="00A93A9C">
      <w:pPr>
        <w:pStyle w:val="7b"/>
        <w:shd w:val="clear" w:color="auto" w:fill="auto"/>
        <w:tabs>
          <w:tab w:val="left" w:pos="706"/>
        </w:tabs>
        <w:spacing w:line="120" w:lineRule="exact"/>
      </w:pPr>
      <w:r>
        <w:rPr>
          <w:rStyle w:val="7a"/>
          <w:color w:val="000000"/>
        </w:rPr>
        <w:footnoteRef/>
      </w:r>
      <w:r>
        <w:rPr>
          <w:rStyle w:val="7a"/>
          <w:color w:val="000000"/>
        </w:rPr>
        <w:tab/>
      </w:r>
      <w:r>
        <w:rPr>
          <w:rStyle w:val="7a"/>
          <w:color w:val="000000"/>
          <w:lang w:val="uk-UA" w:eastAsia="uk-UA"/>
        </w:rPr>
        <w:t>і</w:t>
      </w:r>
    </w:p>
    <w:p w14:paraId="3D901D65" w14:textId="77777777" w:rsidR="00A93A9C" w:rsidRDefault="00A93A9C" w:rsidP="00A93A9C">
      <w:pPr>
        <w:pStyle w:val="12"/>
        <w:shd w:val="clear" w:color="auto" w:fill="auto"/>
        <w:spacing w:line="226" w:lineRule="exact"/>
        <w:ind w:left="280"/>
        <w:jc w:val="left"/>
      </w:pPr>
      <w:hyperlink r:id="rId1" w:history="1">
        <w:r>
          <w:rPr>
            <w:rStyle w:val="a8"/>
            <w:lang w:val="en-US" w:eastAsia="en-US"/>
          </w:rPr>
          <w:t>www.bn.ru</w:t>
        </w:r>
      </w:hyperlink>
    </w:p>
  </w:footnote>
  <w:footnote w:id="2">
    <w:p w14:paraId="5CC48049" w14:textId="77777777" w:rsidR="00A93A9C" w:rsidRDefault="00A93A9C" w:rsidP="00A93A9C">
      <w:pPr>
        <w:pStyle w:val="12"/>
        <w:shd w:val="clear" w:color="auto" w:fill="auto"/>
        <w:tabs>
          <w:tab w:val="left" w:pos="250"/>
        </w:tabs>
        <w:spacing w:line="226" w:lineRule="exact"/>
        <w:ind w:right="400"/>
        <w:jc w:val="left"/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</w:r>
      <w:hyperlink r:id="rId2" w:history="1">
        <w:r>
          <w:rPr>
            <w:rStyle w:val="a8"/>
            <w:lang w:val="en-US" w:eastAsia="en-US"/>
          </w:rPr>
          <w:t>www.realty.lenta.ru</w:t>
        </w:r>
      </w:hyperlink>
      <w:r>
        <w:rPr>
          <w:rStyle w:val="af3"/>
          <w:b/>
          <w:bCs/>
          <w:color w:val="000000"/>
          <w:lang w:val="en-US" w:eastAsia="en-US"/>
        </w:rPr>
        <w:t xml:space="preserve">. </w:t>
      </w:r>
      <w:r>
        <w:rPr>
          <w:rStyle w:val="af3"/>
          <w:b/>
          <w:bCs/>
          <w:color w:val="000000"/>
        </w:rPr>
        <w:t xml:space="preserve">По итогам первого полугодия 2011 года Москва признана самым дорогим городом мира по </w:t>
      </w:r>
      <w:hyperlink r:id="rId3" w:history="1">
        <w:r>
          <w:rPr>
            <w:rStyle w:val="a8"/>
          </w:rPr>
          <w:t>стоимости про</w:t>
        </w:r>
      </w:hyperlink>
      <w:r>
        <w:rPr>
          <w:rStyle w:val="af3"/>
          <w:b/>
          <w:bCs/>
          <w:color w:val="000000"/>
        </w:rPr>
        <w:t xml:space="preserve">живания в гостиницах. Об этом говорится в исследовании компании </w:t>
      </w:r>
      <w:r>
        <w:rPr>
          <w:rStyle w:val="af3"/>
          <w:b/>
          <w:bCs/>
          <w:color w:val="000000"/>
          <w:lang w:val="en-US" w:eastAsia="en-US"/>
        </w:rPr>
        <w:t xml:space="preserve">Hogg Robinson Group (HRG, </w:t>
      </w:r>
      <w:r>
        <w:rPr>
          <w:rStyle w:val="af3"/>
          <w:b/>
          <w:bCs/>
          <w:color w:val="000000"/>
        </w:rPr>
        <w:t>Великобритания), которое основано на общих показателях гостиничной отрасли и текущих ценах бронирования номеров, а также тратах британских туристов. На второй и третьей позициях расположились два швейцарских города - Женева и Цюрих. В этих городах ночь в гостинице обходится в среднем в 227,64 фунта стерлингов (10,7 тысячи рублей) и 220,4 фунта стерлингов (10,4 тысячи рублей) соответственно.</w:t>
      </w:r>
    </w:p>
  </w:footnote>
  <w:footnote w:id="3">
    <w:p w14:paraId="797A4D21" w14:textId="77777777" w:rsidR="00A93A9C" w:rsidRDefault="00A93A9C" w:rsidP="00A93A9C">
      <w:pPr>
        <w:pStyle w:val="12"/>
        <w:shd w:val="clear" w:color="auto" w:fill="auto"/>
        <w:tabs>
          <w:tab w:val="left" w:pos="235"/>
        </w:tabs>
        <w:spacing w:line="226" w:lineRule="exact"/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</w:r>
      <w:hyperlink r:id="rId4" w:history="1">
        <w:r>
          <w:rPr>
            <w:rStyle w:val="a8"/>
            <w:lang w:val="en-US" w:eastAsia="en-US"/>
          </w:rPr>
          <w:t>www.interesting.myz</w:t>
        </w:r>
      </w:hyperlink>
    </w:p>
  </w:footnote>
  <w:footnote w:id="4">
    <w:p w14:paraId="63EDD84F" w14:textId="77777777" w:rsidR="00A93A9C" w:rsidRDefault="00A93A9C" w:rsidP="00A93A9C">
      <w:pPr>
        <w:pStyle w:val="12"/>
        <w:shd w:val="clear" w:color="auto" w:fill="auto"/>
        <w:spacing w:line="180" w:lineRule="exact"/>
        <w:ind w:left="220"/>
        <w:jc w:val="left"/>
      </w:pPr>
      <w:hyperlink r:id="rId5" w:history="1">
        <w:r>
          <w:rPr>
            <w:rStyle w:val="a8"/>
            <w:lang w:val="en-US" w:eastAsia="en-US"/>
          </w:rPr>
          <w:t>www.bn.ru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0B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1B"/>
    <w:multiLevelType w:val="multilevel"/>
    <w:tmpl w:val="0000001A"/>
    <w:lvl w:ilvl="0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3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37"/>
    <w:multiLevelType w:val="multilevel"/>
    <w:tmpl w:val="0000003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43"/>
    <w:multiLevelType w:val="multilevel"/>
    <w:tmpl w:val="0000004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F"/>
    <w:multiLevelType w:val="multilevel"/>
    <w:tmpl w:val="0000004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1"/>
    <w:multiLevelType w:val="multilevel"/>
    <w:tmpl w:val="000000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63"/>
    <w:multiLevelType w:val="multilevel"/>
    <w:tmpl w:val="0000006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81"/>
    <w:multiLevelType w:val="multilevel"/>
    <w:tmpl w:val="0000008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83"/>
    <w:multiLevelType w:val="multilevel"/>
    <w:tmpl w:val="000000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91"/>
    <w:multiLevelType w:val="multilevel"/>
    <w:tmpl w:val="0000009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93"/>
    <w:multiLevelType w:val="multilevel"/>
    <w:tmpl w:val="0000009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0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40"/>
  </w:num>
  <w:num w:numId="2">
    <w:abstractNumId w:val="29"/>
  </w:num>
  <w:num w:numId="3">
    <w:abstractNumId w:val="10"/>
  </w:num>
  <w:num w:numId="4">
    <w:abstractNumId w:val="7"/>
  </w:num>
  <w:num w:numId="5">
    <w:abstractNumId w:val="9"/>
  </w:num>
  <w:num w:numId="6">
    <w:abstractNumId w:val="12"/>
  </w:num>
  <w:num w:numId="7">
    <w:abstractNumId w:val="8"/>
  </w:num>
  <w:num w:numId="8">
    <w:abstractNumId w:val="16"/>
  </w:num>
  <w:num w:numId="9">
    <w:abstractNumId w:val="17"/>
  </w:num>
  <w:num w:numId="10">
    <w:abstractNumId w:val="19"/>
  </w:num>
  <w:num w:numId="11">
    <w:abstractNumId w:val="20"/>
  </w:num>
  <w:num w:numId="12">
    <w:abstractNumId w:val="11"/>
  </w:num>
  <w:num w:numId="13">
    <w:abstractNumId w:val="5"/>
  </w:num>
  <w:num w:numId="14">
    <w:abstractNumId w:val="21"/>
  </w:num>
  <w:num w:numId="15">
    <w:abstractNumId w:val="6"/>
  </w:num>
  <w:num w:numId="16">
    <w:abstractNumId w:val="39"/>
  </w:num>
  <w:num w:numId="17">
    <w:abstractNumId w:val="35"/>
  </w:num>
  <w:num w:numId="18">
    <w:abstractNumId w:val="28"/>
  </w:num>
  <w:num w:numId="19">
    <w:abstractNumId w:val="31"/>
  </w:num>
  <w:num w:numId="20">
    <w:abstractNumId w:val="26"/>
  </w:num>
  <w:num w:numId="21">
    <w:abstractNumId w:val="27"/>
  </w:num>
  <w:num w:numId="22">
    <w:abstractNumId w:val="14"/>
  </w:num>
  <w:num w:numId="23">
    <w:abstractNumId w:val="15"/>
  </w:num>
  <w:num w:numId="24">
    <w:abstractNumId w:val="13"/>
  </w:num>
  <w:num w:numId="25">
    <w:abstractNumId w:val="34"/>
  </w:num>
  <w:num w:numId="26">
    <w:abstractNumId w:val="36"/>
  </w:num>
  <w:num w:numId="27">
    <w:abstractNumId w:val="37"/>
  </w:num>
  <w:num w:numId="28">
    <w:abstractNumId w:val="38"/>
  </w:num>
  <w:num w:numId="29">
    <w:abstractNumId w:val="4"/>
  </w:num>
  <w:num w:numId="30">
    <w:abstractNumId w:val="22"/>
  </w:num>
  <w:num w:numId="31">
    <w:abstractNumId w:val="23"/>
  </w:num>
  <w:num w:numId="32">
    <w:abstractNumId w:val="18"/>
  </w:num>
  <w:num w:numId="33">
    <w:abstractNumId w:val="2"/>
  </w:num>
  <w:num w:numId="34">
    <w:abstractNumId w:val="3"/>
  </w:num>
  <w:num w:numId="35">
    <w:abstractNumId w:val="24"/>
  </w:num>
  <w:num w:numId="36">
    <w:abstractNumId w:val="25"/>
  </w:num>
  <w:num w:numId="37">
    <w:abstractNumId w:val="32"/>
  </w:num>
  <w:num w:numId="38">
    <w:abstractNumId w:val="33"/>
  </w:num>
  <w:num w:numId="39">
    <w:abstractNumId w:val="30"/>
  </w:num>
  <w:num w:numId="40">
    <w:abstractNumId w:val="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B5B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ealty.lenta.ru" TargetMode="External"/><Relationship Id="rId2" Type="http://schemas.openxmlformats.org/officeDocument/2006/relationships/hyperlink" Target="http://www.realty.lenta.ru" TargetMode="External"/><Relationship Id="rId1" Type="http://schemas.openxmlformats.org/officeDocument/2006/relationships/hyperlink" Target="http://www.bn.ru" TargetMode="External"/><Relationship Id="rId5" Type="http://schemas.openxmlformats.org/officeDocument/2006/relationships/hyperlink" Target="http://www.bn.ru" TargetMode="External"/><Relationship Id="rId4" Type="http://schemas.openxmlformats.org/officeDocument/2006/relationships/hyperlink" Target="http://www.interesting.my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132517</TotalTime>
  <Pages>11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6763</cp:revision>
  <dcterms:created xsi:type="dcterms:W3CDTF">2024-06-20T08:51:00Z</dcterms:created>
  <dcterms:modified xsi:type="dcterms:W3CDTF">2025-02-01T20:45:00Z</dcterms:modified>
  <cp:category/>
</cp:coreProperties>
</file>