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C6431" w14:textId="5C7D265F" w:rsidR="009322B0" w:rsidRDefault="00D229BF" w:rsidP="00D229BF">
      <w:pPr>
        <w:rPr>
          <w:rFonts w:ascii="Verdana" w:hAnsi="Verdana"/>
          <w:b/>
          <w:bCs/>
          <w:color w:val="000000"/>
          <w:shd w:val="clear" w:color="auto" w:fill="FFFFFF"/>
        </w:rPr>
      </w:pPr>
      <w:r>
        <w:rPr>
          <w:rFonts w:ascii="Verdana" w:hAnsi="Verdana"/>
          <w:b/>
          <w:bCs/>
          <w:color w:val="000000"/>
          <w:shd w:val="clear" w:color="auto" w:fill="FFFFFF"/>
        </w:rPr>
        <w:t>Калахан Олег Степанович. Закономірності і механізм корозії та корозійно-втомного руйнування титанових сплавів у середовищах різної протогенності : Дис... д-ра наук: 05.17.14 - 2008.</w:t>
      </w:r>
    </w:p>
    <w:p w14:paraId="124AF1AB" w14:textId="77777777" w:rsidR="00D229BF" w:rsidRPr="00D229BF" w:rsidRDefault="00D229BF" w:rsidP="00D229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229BF">
        <w:rPr>
          <w:rFonts w:ascii="Times New Roman" w:eastAsia="Times New Roman" w:hAnsi="Times New Roman" w:cs="Times New Roman"/>
          <w:b/>
          <w:bCs/>
          <w:color w:val="000000"/>
          <w:sz w:val="27"/>
          <w:szCs w:val="27"/>
        </w:rPr>
        <w:t>Анотація. Калахан О.С. Закономірності і механізм корозії та корозійно-втомного руйнування титанових сплавів у середовищах різної протогенності. – Рукопис.</w:t>
      </w:r>
    </w:p>
    <w:p w14:paraId="6025E7F0" w14:textId="77777777" w:rsidR="00D229BF" w:rsidRPr="00D229BF" w:rsidRDefault="00D229BF" w:rsidP="00D229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229BF">
        <w:rPr>
          <w:rFonts w:ascii="Times New Roman" w:eastAsia="Times New Roman" w:hAnsi="Times New Roman" w:cs="Times New Roman"/>
          <w:color w:val="000000"/>
          <w:sz w:val="27"/>
          <w:szCs w:val="27"/>
        </w:rPr>
        <w:t>Дисертація на здобуття наукового ступеня доктора технічних наук за спеціальнісю </w:t>
      </w:r>
      <w:r w:rsidRPr="00D229BF">
        <w:rPr>
          <w:rFonts w:ascii="Times New Roman" w:eastAsia="Times New Roman" w:hAnsi="Times New Roman" w:cs="Times New Roman"/>
          <w:b/>
          <w:bCs/>
          <w:color w:val="000000"/>
          <w:sz w:val="27"/>
          <w:szCs w:val="27"/>
        </w:rPr>
        <w:t>05.17.14</w:t>
      </w:r>
      <w:r w:rsidRPr="00D229BF">
        <w:rPr>
          <w:rFonts w:ascii="Times New Roman" w:eastAsia="Times New Roman" w:hAnsi="Times New Roman" w:cs="Times New Roman"/>
          <w:color w:val="000000"/>
          <w:sz w:val="27"/>
          <w:szCs w:val="27"/>
        </w:rPr>
        <w:t> – хімічний опір матеріалів та захист від корозії. Фізико-механічний інститут ім. Г.В. Карпенка НАН України, Львів, 2008.</w:t>
      </w:r>
    </w:p>
    <w:p w14:paraId="293FDE15" w14:textId="77777777" w:rsidR="00D229BF" w:rsidRPr="00D229BF" w:rsidRDefault="00D229BF" w:rsidP="00D229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229BF">
        <w:rPr>
          <w:rFonts w:ascii="Times New Roman" w:eastAsia="Times New Roman" w:hAnsi="Times New Roman" w:cs="Times New Roman"/>
          <w:color w:val="000000"/>
          <w:sz w:val="27"/>
          <w:szCs w:val="27"/>
        </w:rPr>
        <w:t>У роботі узагальнено теоретико-експериментальні дослідження корозійної тривкості та корозійно-втомної довговічності титанових сплавів у середовищах різної протогенності та запропоновано нові підходи для вирішення важливої практичної проблеми підвищення корозійно-втомної довговічності титанових сплавів у технологічних середовищах енергетичної промисловості на основі встановлених закономірностей перебігу корозії та корозійної втоми сплавів та за наявності на них захисних покриттів.</w:t>
      </w:r>
    </w:p>
    <w:p w14:paraId="12379F67" w14:textId="77777777" w:rsidR="00D229BF" w:rsidRPr="00D229BF" w:rsidRDefault="00D229BF" w:rsidP="00D229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229BF">
        <w:rPr>
          <w:rFonts w:ascii="Times New Roman" w:eastAsia="Times New Roman" w:hAnsi="Times New Roman" w:cs="Times New Roman"/>
          <w:color w:val="000000"/>
          <w:sz w:val="27"/>
          <w:szCs w:val="27"/>
        </w:rPr>
        <w:t>З’ясовано закономірності впливу середовищ різної протогенності на кінетику електродних процесів на поверхні титанових сплавів. Встановлено, що ефективна енергія активації електродних процесів та коефіцієнт переносу структурно малочутливі при корозії сплаву ПТ-3В, а відмінності у корозійній тривкості при зміні його структури від грубозернистої пластинчастої до глобулярної дрібнозернистої зумовлені різною сумарною площею активних центрів на поверхні матеріалу. Отримано кількісні електрохімічні характеристики впливу циклічної деформації на репасивацію титанових сплавів у розчинах хлоридів. Встановлено інверсію впливу водних розчинів аміаку на опір зародженню втомної тріщини від концентратора напружень і кінетику її росту. Виявлено лінійну залежність стабілізованого значення електродного потенціалу </w:t>
      </w:r>
      <w:r w:rsidRPr="00D229BF">
        <w:rPr>
          <w:rFonts w:ascii="Times New Roman" w:eastAsia="Times New Roman" w:hAnsi="Times New Roman" w:cs="Times New Roman"/>
          <w:i/>
          <w:iCs/>
          <w:color w:val="000000"/>
          <w:sz w:val="27"/>
          <w:szCs w:val="27"/>
        </w:rPr>
        <w:t>Е</w:t>
      </w:r>
      <w:r w:rsidRPr="00D229BF">
        <w:rPr>
          <w:rFonts w:ascii="Times New Roman" w:eastAsia="Times New Roman" w:hAnsi="Times New Roman" w:cs="Times New Roman"/>
          <w:color w:val="000000"/>
          <w:sz w:val="27"/>
          <w:szCs w:val="27"/>
          <w:vertAlign w:val="subscript"/>
        </w:rPr>
        <w:t>стаб </w:t>
      </w:r>
      <w:r w:rsidRPr="00D229BF">
        <w:rPr>
          <w:rFonts w:ascii="Times New Roman" w:eastAsia="Times New Roman" w:hAnsi="Times New Roman" w:cs="Times New Roman"/>
          <w:color w:val="000000"/>
          <w:sz w:val="27"/>
          <w:szCs w:val="27"/>
        </w:rPr>
        <w:t>від логарифма розмаху коефіцієнта інтенсивності напружень </w:t>
      </w:r>
      <w:r w:rsidRPr="00D229BF">
        <w:rPr>
          <w:rFonts w:ascii="Times New Roman" w:eastAsia="Times New Roman" w:hAnsi="Times New Roman" w:cs="Times New Roman"/>
          <w:i/>
          <w:iCs/>
          <w:color w:val="000000"/>
          <w:sz w:val="27"/>
          <w:szCs w:val="27"/>
        </w:rPr>
        <w:t>K</w:t>
      </w:r>
      <w:r w:rsidRPr="00D229BF">
        <w:rPr>
          <w:rFonts w:ascii="Times New Roman" w:eastAsia="Times New Roman" w:hAnsi="Times New Roman" w:cs="Times New Roman"/>
          <w:color w:val="000000"/>
          <w:sz w:val="27"/>
          <w:szCs w:val="27"/>
        </w:rPr>
        <w:t> для сплаву ПТ-3В різної структури в водному розчині аміаку змінної концентрації та температури середовища. На основі цієї залежності встановлено, що розвиток корозійно-втомних тріщин у сплаві за припорогових навантажень відбувається переважно за механізмом анодного розчинення, тоді як за вищих рівнів </w:t>
      </w:r>
      <w:r w:rsidRPr="00D229BF">
        <w:rPr>
          <w:rFonts w:ascii="Times New Roman" w:eastAsia="Times New Roman" w:hAnsi="Times New Roman" w:cs="Times New Roman"/>
          <w:i/>
          <w:iCs/>
          <w:color w:val="000000"/>
          <w:sz w:val="27"/>
          <w:szCs w:val="27"/>
        </w:rPr>
        <w:t>K </w:t>
      </w:r>
      <w:r w:rsidRPr="00D229BF">
        <w:rPr>
          <w:rFonts w:ascii="Times New Roman" w:eastAsia="Times New Roman" w:hAnsi="Times New Roman" w:cs="Times New Roman"/>
          <w:color w:val="000000"/>
          <w:sz w:val="27"/>
          <w:szCs w:val="27"/>
        </w:rPr>
        <w:t>визначальним є водневе окрихчення. Обґрунтовано ефективність застосування газотермічних покриттів для відновлення розмірів і захисту елементів титанових лопаток турбін енергетичних установок від фретинг-втомного руйнування, визначено лімітуючі стадії корозії покриттів та з’ясовано механізм розвитку їх локальної корозії - міжкристалітної, структурно-вибіркової та виразкової – при корозійній фретинг-втомі в хлоридних середовищах.</w:t>
      </w:r>
    </w:p>
    <w:p w14:paraId="4835F489" w14:textId="77777777" w:rsidR="00D229BF" w:rsidRPr="00D229BF" w:rsidRDefault="00D229BF" w:rsidP="00D229BF"/>
    <w:sectPr w:rsidR="00D229BF" w:rsidRPr="00D229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744E" w14:textId="77777777" w:rsidR="00CC35AA" w:rsidRDefault="00CC35AA">
      <w:pPr>
        <w:spacing w:after="0" w:line="240" w:lineRule="auto"/>
      </w:pPr>
      <w:r>
        <w:separator/>
      </w:r>
    </w:p>
  </w:endnote>
  <w:endnote w:type="continuationSeparator" w:id="0">
    <w:p w14:paraId="144717D0" w14:textId="77777777" w:rsidR="00CC35AA" w:rsidRDefault="00CC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0104" w14:textId="77777777" w:rsidR="00CC35AA" w:rsidRDefault="00CC35AA">
      <w:pPr>
        <w:spacing w:after="0" w:line="240" w:lineRule="auto"/>
      </w:pPr>
      <w:r>
        <w:separator/>
      </w:r>
    </w:p>
  </w:footnote>
  <w:footnote w:type="continuationSeparator" w:id="0">
    <w:p w14:paraId="6825B2C3" w14:textId="77777777" w:rsidR="00CC35AA" w:rsidRDefault="00CC3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35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845"/>
    <w:multiLevelType w:val="multilevel"/>
    <w:tmpl w:val="94FACD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46D46"/>
    <w:multiLevelType w:val="multilevel"/>
    <w:tmpl w:val="E796F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86EE2"/>
    <w:multiLevelType w:val="multilevel"/>
    <w:tmpl w:val="515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C76D9"/>
    <w:multiLevelType w:val="multilevel"/>
    <w:tmpl w:val="665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6DE9"/>
    <w:multiLevelType w:val="multilevel"/>
    <w:tmpl w:val="8B50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E7D11"/>
    <w:multiLevelType w:val="multilevel"/>
    <w:tmpl w:val="B218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73218"/>
    <w:multiLevelType w:val="multilevel"/>
    <w:tmpl w:val="0D248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468E1"/>
    <w:multiLevelType w:val="multilevel"/>
    <w:tmpl w:val="BFBA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E76AE"/>
    <w:multiLevelType w:val="multilevel"/>
    <w:tmpl w:val="7996F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E6677"/>
    <w:multiLevelType w:val="multilevel"/>
    <w:tmpl w:val="52BE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60B72"/>
    <w:multiLevelType w:val="multilevel"/>
    <w:tmpl w:val="8D9E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7524E"/>
    <w:multiLevelType w:val="multilevel"/>
    <w:tmpl w:val="71D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C5282"/>
    <w:multiLevelType w:val="multilevel"/>
    <w:tmpl w:val="FF22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74917"/>
    <w:multiLevelType w:val="multilevel"/>
    <w:tmpl w:val="6C84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866DE"/>
    <w:multiLevelType w:val="multilevel"/>
    <w:tmpl w:val="3A22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A4D25"/>
    <w:multiLevelType w:val="multilevel"/>
    <w:tmpl w:val="9F6EA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C0B8E"/>
    <w:multiLevelType w:val="multilevel"/>
    <w:tmpl w:val="0842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746F8"/>
    <w:multiLevelType w:val="multilevel"/>
    <w:tmpl w:val="DCD0A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F2E38"/>
    <w:multiLevelType w:val="multilevel"/>
    <w:tmpl w:val="C67C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A77D9"/>
    <w:multiLevelType w:val="multilevel"/>
    <w:tmpl w:val="0820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7D4385"/>
    <w:multiLevelType w:val="multilevel"/>
    <w:tmpl w:val="EF4C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26E81"/>
    <w:multiLevelType w:val="multilevel"/>
    <w:tmpl w:val="4136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C01D9"/>
    <w:multiLevelType w:val="multilevel"/>
    <w:tmpl w:val="07BC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5E3F33"/>
    <w:multiLevelType w:val="multilevel"/>
    <w:tmpl w:val="931E4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D549C4"/>
    <w:multiLevelType w:val="multilevel"/>
    <w:tmpl w:val="37B0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D7E60"/>
    <w:multiLevelType w:val="multilevel"/>
    <w:tmpl w:val="D9E4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E67F4"/>
    <w:multiLevelType w:val="multilevel"/>
    <w:tmpl w:val="7486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A596C"/>
    <w:multiLevelType w:val="multilevel"/>
    <w:tmpl w:val="BD1A33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5F3537"/>
    <w:multiLevelType w:val="multilevel"/>
    <w:tmpl w:val="887448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361C88"/>
    <w:multiLevelType w:val="multilevel"/>
    <w:tmpl w:val="8F92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16B1A"/>
    <w:multiLevelType w:val="multilevel"/>
    <w:tmpl w:val="0DCEE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45264E"/>
    <w:multiLevelType w:val="multilevel"/>
    <w:tmpl w:val="8850E5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A7E22"/>
    <w:multiLevelType w:val="multilevel"/>
    <w:tmpl w:val="4CF8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C53A8"/>
    <w:multiLevelType w:val="multilevel"/>
    <w:tmpl w:val="573A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8437A"/>
    <w:multiLevelType w:val="multilevel"/>
    <w:tmpl w:val="C0B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E51DF"/>
    <w:multiLevelType w:val="multilevel"/>
    <w:tmpl w:val="3BE4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3C6EAD"/>
    <w:multiLevelType w:val="multilevel"/>
    <w:tmpl w:val="872E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866A2"/>
    <w:multiLevelType w:val="multilevel"/>
    <w:tmpl w:val="501A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207172"/>
    <w:multiLevelType w:val="multilevel"/>
    <w:tmpl w:val="DDB8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46B68"/>
    <w:multiLevelType w:val="multilevel"/>
    <w:tmpl w:val="A7FE44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324F1B"/>
    <w:multiLevelType w:val="multilevel"/>
    <w:tmpl w:val="FAC62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3"/>
  </w:num>
  <w:num w:numId="3">
    <w:abstractNumId w:val="22"/>
  </w:num>
  <w:num w:numId="4">
    <w:abstractNumId w:val="3"/>
  </w:num>
  <w:num w:numId="5">
    <w:abstractNumId w:val="6"/>
  </w:num>
  <w:num w:numId="6">
    <w:abstractNumId w:val="24"/>
  </w:num>
  <w:num w:numId="7">
    <w:abstractNumId w:val="27"/>
  </w:num>
  <w:num w:numId="8">
    <w:abstractNumId w:val="25"/>
  </w:num>
  <w:num w:numId="9">
    <w:abstractNumId w:val="2"/>
  </w:num>
  <w:num w:numId="10">
    <w:abstractNumId w:val="23"/>
  </w:num>
  <w:num w:numId="11">
    <w:abstractNumId w:val="8"/>
  </w:num>
  <w:num w:numId="12">
    <w:abstractNumId w:val="11"/>
  </w:num>
  <w:num w:numId="13">
    <w:abstractNumId w:val="36"/>
  </w:num>
  <w:num w:numId="14">
    <w:abstractNumId w:val="20"/>
  </w:num>
  <w:num w:numId="15">
    <w:abstractNumId w:val="34"/>
  </w:num>
  <w:num w:numId="16">
    <w:abstractNumId w:val="16"/>
  </w:num>
  <w:num w:numId="17">
    <w:abstractNumId w:val="12"/>
  </w:num>
  <w:num w:numId="18">
    <w:abstractNumId w:val="32"/>
  </w:num>
  <w:num w:numId="19">
    <w:abstractNumId w:val="13"/>
  </w:num>
  <w:num w:numId="20">
    <w:abstractNumId w:val="26"/>
  </w:num>
  <w:num w:numId="21">
    <w:abstractNumId w:val="9"/>
  </w:num>
  <w:num w:numId="22">
    <w:abstractNumId w:val="39"/>
  </w:num>
  <w:num w:numId="23">
    <w:abstractNumId w:val="5"/>
  </w:num>
  <w:num w:numId="24">
    <w:abstractNumId w:val="1"/>
  </w:num>
  <w:num w:numId="25">
    <w:abstractNumId w:val="40"/>
  </w:num>
  <w:num w:numId="26">
    <w:abstractNumId w:val="28"/>
  </w:num>
  <w:num w:numId="27">
    <w:abstractNumId w:val="14"/>
  </w:num>
  <w:num w:numId="28">
    <w:abstractNumId w:val="15"/>
  </w:num>
  <w:num w:numId="29">
    <w:abstractNumId w:val="21"/>
  </w:num>
  <w:num w:numId="30">
    <w:abstractNumId w:val="19"/>
  </w:num>
  <w:num w:numId="31">
    <w:abstractNumId w:val="29"/>
  </w:num>
  <w:num w:numId="32">
    <w:abstractNumId w:val="18"/>
  </w:num>
  <w:num w:numId="33">
    <w:abstractNumId w:val="0"/>
  </w:num>
  <w:num w:numId="34">
    <w:abstractNumId w:val="38"/>
  </w:num>
  <w:num w:numId="35">
    <w:abstractNumId w:val="30"/>
  </w:num>
  <w:num w:numId="36">
    <w:abstractNumId w:val="7"/>
  </w:num>
  <w:num w:numId="37">
    <w:abstractNumId w:val="10"/>
  </w:num>
  <w:num w:numId="38">
    <w:abstractNumId w:val="31"/>
  </w:num>
  <w:num w:numId="39">
    <w:abstractNumId w:val="37"/>
  </w:num>
  <w:num w:numId="40">
    <w:abstractNumId w:val="1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5AA"/>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27"/>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106072</TotalTime>
  <Pages>2</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1421</cp:revision>
  <dcterms:created xsi:type="dcterms:W3CDTF">2024-06-20T08:51:00Z</dcterms:created>
  <dcterms:modified xsi:type="dcterms:W3CDTF">2024-12-25T21:07:00Z</dcterms:modified>
  <cp:category/>
</cp:coreProperties>
</file>