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A186" w14:textId="77777777" w:rsidR="00D51962" w:rsidRDefault="00D51962" w:rsidP="00D51962">
      <w:pPr>
        <w:pStyle w:val="afffffffffffffffffffffffffff5"/>
        <w:rPr>
          <w:rFonts w:ascii="Verdana" w:hAnsi="Verdana"/>
          <w:color w:val="000000"/>
          <w:sz w:val="21"/>
          <w:szCs w:val="21"/>
        </w:rPr>
      </w:pPr>
      <w:r>
        <w:rPr>
          <w:rFonts w:ascii="Helvetica" w:hAnsi="Helvetica" w:cs="Helvetica"/>
          <w:b/>
          <w:bCs w:val="0"/>
          <w:color w:val="222222"/>
          <w:sz w:val="21"/>
          <w:szCs w:val="21"/>
        </w:rPr>
        <w:t>Баранов, Максим Александрович.</w:t>
      </w:r>
    </w:p>
    <w:p w14:paraId="32EB8572" w14:textId="77777777" w:rsidR="00D51962" w:rsidRDefault="00D51962" w:rsidP="00D5196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столкновительных и диффузионных процессов при ионной </w:t>
      </w:r>
      <w:proofErr w:type="gramStart"/>
      <w:r>
        <w:rPr>
          <w:rFonts w:ascii="Helvetica" w:hAnsi="Helvetica" w:cs="Helvetica"/>
          <w:caps/>
          <w:color w:val="222222"/>
          <w:sz w:val="21"/>
          <w:szCs w:val="21"/>
        </w:rPr>
        <w:t>имплантации :</w:t>
      </w:r>
      <w:proofErr w:type="gramEnd"/>
      <w:r>
        <w:rPr>
          <w:rFonts w:ascii="Helvetica" w:hAnsi="Helvetica" w:cs="Helvetica"/>
          <w:caps/>
          <w:color w:val="222222"/>
          <w:sz w:val="21"/>
          <w:szCs w:val="21"/>
        </w:rPr>
        <w:t xml:space="preserve"> диссертация ... кандидата физико-математических наук : 01.04.07. - Ижевск, 1999. - 164 с.</w:t>
      </w:r>
    </w:p>
    <w:p w14:paraId="106B3252" w14:textId="77777777" w:rsidR="00D51962" w:rsidRDefault="00D51962" w:rsidP="00D5196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Баранов, Максим Александрович</w:t>
      </w:r>
    </w:p>
    <w:p w14:paraId="7B762756"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D00D3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 МОДИФИКАЦИЯ ПОВЕРХНОСТИ ПУТЕМ ИОННОЙ ИМПЛАНТАЦИИ эксперимент, </w:t>
      </w:r>
      <w:proofErr w:type="gramStart"/>
      <w:r>
        <w:rPr>
          <w:rFonts w:ascii="Arial" w:hAnsi="Arial" w:cs="Arial"/>
          <w:color w:val="333333"/>
          <w:sz w:val="21"/>
          <w:szCs w:val="21"/>
        </w:rPr>
        <w:t>теория ,</w:t>
      </w:r>
      <w:proofErr w:type="gramEnd"/>
      <w:r>
        <w:rPr>
          <w:rFonts w:ascii="Arial" w:hAnsi="Arial" w:cs="Arial"/>
          <w:color w:val="333333"/>
          <w:sz w:val="21"/>
          <w:szCs w:val="21"/>
        </w:rPr>
        <w:t xml:space="preserve"> компьютерное моделирование).</w:t>
      </w:r>
    </w:p>
    <w:p w14:paraId="0E98FF3C"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Рассеяние ионов поверхностями твердых тел.</w:t>
      </w:r>
    </w:p>
    <w:p w14:paraId="1E84501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1.1.1. Энергетические спектры </w:t>
      </w:r>
      <w:proofErr w:type="spellStart"/>
      <w:r>
        <w:rPr>
          <w:rFonts w:ascii="Arial" w:hAnsi="Arial" w:cs="Arial"/>
          <w:color w:val="333333"/>
          <w:sz w:val="21"/>
          <w:szCs w:val="21"/>
        </w:rPr>
        <w:t>обратнорассеянных</w:t>
      </w:r>
      <w:proofErr w:type="spellEnd"/>
      <w:r>
        <w:rPr>
          <w:rFonts w:ascii="Arial" w:hAnsi="Arial" w:cs="Arial"/>
          <w:color w:val="333333"/>
          <w:sz w:val="21"/>
          <w:szCs w:val="21"/>
        </w:rPr>
        <w:t xml:space="preserve"> ионов.</w:t>
      </w:r>
    </w:p>
    <w:p w14:paraId="5500DA58"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1.1.2. Влияние состояния поверхности на вид спектров </w:t>
      </w:r>
      <w:proofErr w:type="spellStart"/>
      <w:r>
        <w:rPr>
          <w:rFonts w:ascii="Arial" w:hAnsi="Arial" w:cs="Arial"/>
          <w:color w:val="333333"/>
          <w:sz w:val="21"/>
          <w:szCs w:val="21"/>
        </w:rPr>
        <w:t>обратнорассеянных</w:t>
      </w:r>
      <w:proofErr w:type="spellEnd"/>
      <w:r>
        <w:rPr>
          <w:rFonts w:ascii="Arial" w:hAnsi="Arial" w:cs="Arial"/>
          <w:color w:val="333333"/>
          <w:sz w:val="21"/>
          <w:szCs w:val="21"/>
        </w:rPr>
        <w:t xml:space="preserve"> ионов.</w:t>
      </w:r>
    </w:p>
    <w:p w14:paraId="1CC53BF6"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1.1.3. Влияние температуры мишени на характер энергетического распределения </w:t>
      </w:r>
      <w:proofErr w:type="spellStart"/>
      <w:r>
        <w:rPr>
          <w:rFonts w:ascii="Arial" w:hAnsi="Arial" w:cs="Arial"/>
          <w:color w:val="333333"/>
          <w:sz w:val="21"/>
          <w:szCs w:val="21"/>
        </w:rPr>
        <w:t>обратнорассеянных</w:t>
      </w:r>
      <w:proofErr w:type="spellEnd"/>
      <w:r>
        <w:rPr>
          <w:rFonts w:ascii="Arial" w:hAnsi="Arial" w:cs="Arial"/>
          <w:color w:val="333333"/>
          <w:sz w:val="21"/>
          <w:szCs w:val="21"/>
        </w:rPr>
        <w:t xml:space="preserve"> ионов.</w:t>
      </w:r>
    </w:p>
    <w:p w14:paraId="559A059D"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Угловые спектры отраженных ионов.</w:t>
      </w:r>
    </w:p>
    <w:p w14:paraId="10D62930"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Изучение поверхности с помощью отраженных ионов.</w:t>
      </w:r>
    </w:p>
    <w:p w14:paraId="02F6BF0D"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Распыление поверхностей твердых тел</w:t>
      </w:r>
    </w:p>
    <w:p w14:paraId="4F0C1A6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Теоретические модели ионного распыления однокомпонентных твердых тел.</w:t>
      </w:r>
    </w:p>
    <w:p w14:paraId="1E5EDD7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Теоретические модели распыления многокомпонентных мишеней.</w:t>
      </w:r>
    </w:p>
    <w:p w14:paraId="3862A6C6"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Радиационно-стимулированная диффузия и сегрегация.</w:t>
      </w:r>
    </w:p>
    <w:p w14:paraId="3BA4C888"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Механизмы радиационно-стимулированной диффузии и сегрегации.</w:t>
      </w:r>
    </w:p>
    <w:p w14:paraId="3BADD1A3"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Механизмы равновесной сегрегации.</w:t>
      </w:r>
    </w:p>
    <w:p w14:paraId="165037F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Связь селективного распыления с сегрегацией с сегрегацией и примесно-стимулированная сегрегация.</w:t>
      </w:r>
    </w:p>
    <w:p w14:paraId="1E7F4809"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Влияние сопутствующих факторов на явление сегрегации.</w:t>
      </w:r>
    </w:p>
    <w:p w14:paraId="13FB442F"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Теоретическое описание поведения макровключений.</w:t>
      </w:r>
    </w:p>
    <w:p w14:paraId="29737A6B"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Механизмы облегченной </w:t>
      </w:r>
      <w:proofErr w:type="spellStart"/>
      <w:r>
        <w:rPr>
          <w:rFonts w:ascii="Arial" w:hAnsi="Arial" w:cs="Arial"/>
          <w:color w:val="333333"/>
          <w:sz w:val="21"/>
          <w:szCs w:val="21"/>
        </w:rPr>
        <w:t>аморфизации</w:t>
      </w:r>
      <w:proofErr w:type="spellEnd"/>
      <w:r>
        <w:rPr>
          <w:rFonts w:ascii="Arial" w:hAnsi="Arial" w:cs="Arial"/>
          <w:color w:val="333333"/>
          <w:sz w:val="21"/>
          <w:szCs w:val="21"/>
        </w:rPr>
        <w:t xml:space="preserve"> при ионной имплантации.</w:t>
      </w:r>
    </w:p>
    <w:p w14:paraId="4E2C2F51"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 Влияние аморфной структуры мишени </w:t>
      </w:r>
      <w:proofErr w:type="gramStart"/>
      <w:r>
        <w:rPr>
          <w:rFonts w:ascii="Arial" w:hAnsi="Arial" w:cs="Arial"/>
          <w:color w:val="333333"/>
          <w:sz w:val="21"/>
          <w:szCs w:val="21"/>
        </w:rPr>
        <w:t>на процессы</w:t>
      </w:r>
      <w:proofErr w:type="gramEnd"/>
      <w:r>
        <w:rPr>
          <w:rFonts w:ascii="Arial" w:hAnsi="Arial" w:cs="Arial"/>
          <w:color w:val="333333"/>
          <w:sz w:val="21"/>
          <w:szCs w:val="21"/>
        </w:rPr>
        <w:t xml:space="preserve"> сопутствующие ионной имплантации.</w:t>
      </w:r>
    </w:p>
    <w:p w14:paraId="1020051B"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Машинное моделирование ионной имплантации.</w:t>
      </w:r>
    </w:p>
    <w:p w14:paraId="377085A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72C3E48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МЕТОДЫ КОМПЬЮТЕРНЫХ ИССЛЕДОВАНИЙ ПРОЦЕССОВ, СОПРОВОЖДАЮЩИХ ИОННУЮ ИМПЛАНТАЦИЮ.</w:t>
      </w:r>
    </w:p>
    <w:p w14:paraId="6023FEB7"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gramStart"/>
      <w:r>
        <w:rPr>
          <w:rFonts w:ascii="Arial" w:hAnsi="Arial" w:cs="Arial"/>
          <w:color w:val="333333"/>
          <w:sz w:val="21"/>
          <w:szCs w:val="21"/>
        </w:rPr>
        <w:t>Компьютерные программы</w:t>
      </w:r>
      <w:proofErr w:type="gramEnd"/>
      <w:r>
        <w:rPr>
          <w:rFonts w:ascii="Arial" w:hAnsi="Arial" w:cs="Arial"/>
          <w:color w:val="333333"/>
          <w:sz w:val="21"/>
          <w:szCs w:val="21"/>
        </w:rPr>
        <w:t xml:space="preserve"> основанные на приближении парных столкновений.</w:t>
      </w:r>
    </w:p>
    <w:p w14:paraId="5FEF984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Потенциалы взаимодействия.</w:t>
      </w:r>
    </w:p>
    <w:p w14:paraId="05B2E2C6"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Длина свободного пробега.</w:t>
      </w:r>
    </w:p>
    <w:p w14:paraId="3AB271C3"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Учет неупругих потерь энергии.</w:t>
      </w:r>
    </w:p>
    <w:p w14:paraId="6AC329A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Определение сорта атома-партнера.</w:t>
      </w:r>
    </w:p>
    <w:p w14:paraId="5C2176A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Параметры столкновения.</w:t>
      </w:r>
    </w:p>
    <w:p w14:paraId="0AD2E5F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Расчет траектории.</w:t>
      </w:r>
    </w:p>
    <w:p w14:paraId="57CC74F7"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Сечение упругого взаимодействия.</w:t>
      </w:r>
    </w:p>
    <w:p w14:paraId="59B011D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Условие остановки атома.</w:t>
      </w:r>
    </w:p>
    <w:p w14:paraId="52A8D3A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2.1.9. Пределы применимости приближения парных столкновений.</w:t>
      </w:r>
    </w:p>
    <w:p w14:paraId="31CC54C8"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2.1.10. Влияние </w:t>
      </w:r>
      <w:proofErr w:type="spellStart"/>
      <w:r>
        <w:rPr>
          <w:rFonts w:ascii="Arial" w:hAnsi="Arial" w:cs="Arial"/>
          <w:color w:val="333333"/>
          <w:sz w:val="21"/>
          <w:szCs w:val="21"/>
        </w:rPr>
        <w:t>неучета</w:t>
      </w:r>
      <w:proofErr w:type="spellEnd"/>
      <w:r>
        <w:rPr>
          <w:rFonts w:ascii="Arial" w:hAnsi="Arial" w:cs="Arial"/>
          <w:color w:val="333333"/>
          <w:sz w:val="21"/>
          <w:szCs w:val="21"/>
        </w:rPr>
        <w:t xml:space="preserve"> квантовых эффектов при описании взаимодействия атомов.</w:t>
      </w:r>
    </w:p>
    <w:p w14:paraId="06DD4F7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молекулярной динамики (ММД).</w:t>
      </w:r>
    </w:p>
    <w:p w14:paraId="733DE3F6"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диффузионных уравнений.</w:t>
      </w:r>
    </w:p>
    <w:p w14:paraId="285F57DE"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6CBAB118"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КОМПЬЮТЕРНОЕ МОДЕЛИРОВАНИЕ ЗАДАЧ ОБРАТНОГО РАССЕЯНИЯ.</w:t>
      </w:r>
    </w:p>
    <w:p w14:paraId="5128D091"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Учет функции радиального распределения в методе Монте-Карло при решении задач обратного рассеяния ионов.</w:t>
      </w:r>
    </w:p>
    <w:p w14:paraId="25D6256A"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Применение метода Монте-Карло к анализу спектров </w:t>
      </w:r>
      <w:proofErr w:type="spellStart"/>
      <w:r>
        <w:rPr>
          <w:rFonts w:ascii="Arial" w:hAnsi="Arial" w:cs="Arial"/>
          <w:color w:val="333333"/>
          <w:sz w:val="21"/>
          <w:szCs w:val="21"/>
        </w:rPr>
        <w:t>обратнорассенных</w:t>
      </w:r>
      <w:proofErr w:type="spellEnd"/>
      <w:r>
        <w:rPr>
          <w:rFonts w:ascii="Arial" w:hAnsi="Arial" w:cs="Arial"/>
          <w:color w:val="333333"/>
          <w:sz w:val="21"/>
          <w:szCs w:val="21"/>
        </w:rPr>
        <w:t xml:space="preserve"> ионов.</w:t>
      </w:r>
    </w:p>
    <w:p w14:paraId="23662C13"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21B5A33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ЗАВИСИМОСТЬ ВНЕДРЕННОЙ ДОЗЫ ИМПЛАНТАНТА ОТ ПЛОТНОСТИ</w:t>
      </w:r>
    </w:p>
    <w:p w14:paraId="5042D49C"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ИОННОГО ПОТОКА.</w:t>
      </w:r>
    </w:p>
    <w:p w14:paraId="2EE352E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Экспериментальные данные и их обсуждение.</w:t>
      </w:r>
    </w:p>
    <w:p w14:paraId="61EFD615"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Результаты компьютерного моделирования.</w:t>
      </w:r>
    </w:p>
    <w:p w14:paraId="48F4DAFD"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Теория движения макроскопических включений в кристаллических телах.</w:t>
      </w:r>
    </w:p>
    <w:p w14:paraId="7482034F"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Построение математической модели.</w:t>
      </w:r>
    </w:p>
    <w:p w14:paraId="3AC5E104"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Результаты модельных расчетов.</w:t>
      </w:r>
    </w:p>
    <w:p w14:paraId="54561EE8"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Обсуждение предложенной модели.</w:t>
      </w:r>
    </w:p>
    <w:p w14:paraId="06EC9CED" w14:textId="77777777" w:rsidR="00D51962" w:rsidRDefault="00D51962" w:rsidP="00D519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главе.</w:t>
      </w:r>
    </w:p>
    <w:p w14:paraId="071EBB05" w14:textId="7B89714A" w:rsidR="00E67B85" w:rsidRPr="00D51962" w:rsidRDefault="00E67B85" w:rsidP="00D51962"/>
    <w:sectPr w:rsidR="00E67B85" w:rsidRPr="00D519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C130" w14:textId="77777777" w:rsidR="00E84D24" w:rsidRDefault="00E84D24">
      <w:pPr>
        <w:spacing w:after="0" w:line="240" w:lineRule="auto"/>
      </w:pPr>
      <w:r>
        <w:separator/>
      </w:r>
    </w:p>
  </w:endnote>
  <w:endnote w:type="continuationSeparator" w:id="0">
    <w:p w14:paraId="60455499" w14:textId="77777777" w:rsidR="00E84D24" w:rsidRDefault="00E8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EC4B" w14:textId="77777777" w:rsidR="00E84D24" w:rsidRDefault="00E84D24"/>
    <w:p w14:paraId="166FBC3C" w14:textId="77777777" w:rsidR="00E84D24" w:rsidRDefault="00E84D24"/>
    <w:p w14:paraId="57950C1B" w14:textId="77777777" w:rsidR="00E84D24" w:rsidRDefault="00E84D24"/>
    <w:p w14:paraId="0BFE5E80" w14:textId="77777777" w:rsidR="00E84D24" w:rsidRDefault="00E84D24"/>
    <w:p w14:paraId="387BFD30" w14:textId="77777777" w:rsidR="00E84D24" w:rsidRDefault="00E84D24"/>
    <w:p w14:paraId="07ACE61E" w14:textId="77777777" w:rsidR="00E84D24" w:rsidRDefault="00E84D24"/>
    <w:p w14:paraId="0F04D1E9" w14:textId="77777777" w:rsidR="00E84D24" w:rsidRDefault="00E84D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2CDA5" wp14:editId="08B7EA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3F3AF" w14:textId="77777777" w:rsidR="00E84D24" w:rsidRDefault="00E84D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2CD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3F3AF" w14:textId="77777777" w:rsidR="00E84D24" w:rsidRDefault="00E84D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59649" w14:textId="77777777" w:rsidR="00E84D24" w:rsidRDefault="00E84D24"/>
    <w:p w14:paraId="569342AA" w14:textId="77777777" w:rsidR="00E84D24" w:rsidRDefault="00E84D24"/>
    <w:p w14:paraId="6A714CEC" w14:textId="77777777" w:rsidR="00E84D24" w:rsidRDefault="00E84D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D816F" wp14:editId="254B35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DF58" w14:textId="77777777" w:rsidR="00E84D24" w:rsidRDefault="00E84D24"/>
                          <w:p w14:paraId="7F56F86C" w14:textId="77777777" w:rsidR="00E84D24" w:rsidRDefault="00E84D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D81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ADF58" w14:textId="77777777" w:rsidR="00E84D24" w:rsidRDefault="00E84D24"/>
                    <w:p w14:paraId="7F56F86C" w14:textId="77777777" w:rsidR="00E84D24" w:rsidRDefault="00E84D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A0D96C" w14:textId="77777777" w:rsidR="00E84D24" w:rsidRDefault="00E84D24"/>
    <w:p w14:paraId="10C1B5FD" w14:textId="77777777" w:rsidR="00E84D24" w:rsidRDefault="00E84D24">
      <w:pPr>
        <w:rPr>
          <w:sz w:val="2"/>
          <w:szCs w:val="2"/>
        </w:rPr>
      </w:pPr>
    </w:p>
    <w:p w14:paraId="726F75C3" w14:textId="77777777" w:rsidR="00E84D24" w:rsidRDefault="00E84D24"/>
    <w:p w14:paraId="3905A54A" w14:textId="77777777" w:rsidR="00E84D24" w:rsidRDefault="00E84D24">
      <w:pPr>
        <w:spacing w:after="0" w:line="240" w:lineRule="auto"/>
      </w:pPr>
    </w:p>
  </w:footnote>
  <w:footnote w:type="continuationSeparator" w:id="0">
    <w:p w14:paraId="339ABE59" w14:textId="77777777" w:rsidR="00E84D24" w:rsidRDefault="00E8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24"/>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112240</TotalTime>
  <Pages>3</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1892</cp:revision>
  <cp:lastPrinted>2009-02-06T05:36:00Z</cp:lastPrinted>
  <dcterms:created xsi:type="dcterms:W3CDTF">2024-01-07T13:43:00Z</dcterms:created>
  <dcterms:modified xsi:type="dcterms:W3CDTF">2025-06-11T19:35:00Z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