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140FC" w14:textId="7903EF9D" w:rsidR="008A7758" w:rsidRDefault="00E458F2" w:rsidP="00E458F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Валеев Динар Мунирович. Международно-правовые основы сотрудничества по борьбе с транснациональной организованной преступностью</w:t>
      </w:r>
      <w:bookmarkEnd w:id="0"/>
      <w:r>
        <w:rPr>
          <w:rFonts w:ascii="Verdana" w:hAnsi="Verdana"/>
          <w:color w:val="000000"/>
          <w:sz w:val="18"/>
          <w:szCs w:val="18"/>
          <w:shd w:val="clear" w:color="auto" w:fill="FFFFFF"/>
        </w:rPr>
        <w:t>: диссертация ... кандидата Юридических наук: 12.00.10 / Валеев Динар Мунирович;[Место защиты: Институт законодательства и сравнительного правоведения при правительстве Российской Федерации], 2016</w:t>
      </w:r>
    </w:p>
    <w:p w14:paraId="7A387ECE" w14:textId="77777777" w:rsidR="00E458F2" w:rsidRPr="00E458F2" w:rsidRDefault="00E458F2" w:rsidP="00E458F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458F2">
        <w:rPr>
          <w:rFonts w:ascii="Verdana" w:eastAsia="Times New Roman" w:hAnsi="Verdana" w:cs="Times New Roman"/>
          <w:b/>
          <w:bCs/>
          <w:color w:val="AC370B"/>
          <w:kern w:val="0"/>
          <w:sz w:val="23"/>
          <w:szCs w:val="23"/>
          <w:lang w:eastAsia="ru-RU"/>
        </w:rPr>
        <w:t>Содержание к диссертации</w:t>
      </w:r>
    </w:p>
    <w:p w14:paraId="64659C58" w14:textId="77777777" w:rsidR="00E458F2" w:rsidRPr="00E458F2" w:rsidRDefault="00E458F2" w:rsidP="00E458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58F2">
        <w:rPr>
          <w:rFonts w:ascii="Verdana" w:eastAsia="Times New Roman" w:hAnsi="Verdana" w:cs="Times New Roman"/>
          <w:color w:val="000000"/>
          <w:kern w:val="0"/>
          <w:sz w:val="18"/>
          <w:szCs w:val="18"/>
          <w:lang w:eastAsia="ru-RU"/>
        </w:rPr>
        <w:t>Введение</w:t>
      </w:r>
    </w:p>
    <w:p w14:paraId="292BD162" w14:textId="77777777" w:rsidR="00E458F2" w:rsidRPr="00E458F2" w:rsidRDefault="00E458F2" w:rsidP="00E458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458F2">
        <w:rPr>
          <w:rFonts w:ascii="Verdana" w:eastAsia="Times New Roman" w:hAnsi="Verdana" w:cs="Times New Roman"/>
          <w:b/>
          <w:bCs/>
          <w:color w:val="000000"/>
          <w:kern w:val="0"/>
          <w:sz w:val="18"/>
          <w:szCs w:val="18"/>
          <w:lang w:eastAsia="ru-RU"/>
        </w:rPr>
        <w:t>Глава 1. Понятие и виды транснациональной организованной преступности 17</w:t>
      </w:r>
    </w:p>
    <w:p w14:paraId="110C6848" w14:textId="77777777" w:rsidR="00E458F2" w:rsidRPr="00E458F2" w:rsidRDefault="00E458F2" w:rsidP="00E458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58F2">
        <w:rPr>
          <w:rFonts w:ascii="Verdana" w:eastAsia="Times New Roman" w:hAnsi="Verdana" w:cs="Times New Roman"/>
          <w:color w:val="000000"/>
          <w:kern w:val="0"/>
          <w:sz w:val="18"/>
          <w:szCs w:val="18"/>
          <w:lang w:eastAsia="ru-RU"/>
        </w:rPr>
        <w:t>1. Транснациональная организованная преступность: понятие, юридическая природа и причины распространения 19</w:t>
      </w:r>
    </w:p>
    <w:p w14:paraId="2409572B" w14:textId="77777777" w:rsidR="00E458F2" w:rsidRPr="00E458F2" w:rsidRDefault="00E458F2" w:rsidP="00E458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58F2">
        <w:rPr>
          <w:rFonts w:ascii="Verdana" w:eastAsia="Times New Roman" w:hAnsi="Verdana" w:cs="Times New Roman"/>
          <w:color w:val="000000"/>
          <w:kern w:val="0"/>
          <w:sz w:val="18"/>
          <w:szCs w:val="18"/>
          <w:lang w:eastAsia="ru-RU"/>
        </w:rPr>
        <w:t>2. Критерии разграничения транснациональных преступлений и преступлений международного характера 48</w:t>
      </w:r>
    </w:p>
    <w:p w14:paraId="1561CB44" w14:textId="77777777" w:rsidR="00E458F2" w:rsidRPr="00E458F2" w:rsidRDefault="00E458F2" w:rsidP="00E458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58F2">
        <w:rPr>
          <w:rFonts w:ascii="Verdana" w:eastAsia="Times New Roman" w:hAnsi="Verdana" w:cs="Times New Roman"/>
          <w:color w:val="000000"/>
          <w:kern w:val="0"/>
          <w:sz w:val="18"/>
          <w:szCs w:val="18"/>
          <w:lang w:eastAsia="ru-RU"/>
        </w:rPr>
        <w:t>3. Виды преступлений, совершаемых транснациональными преступными группами 59</w:t>
      </w:r>
    </w:p>
    <w:p w14:paraId="63BF9D7C" w14:textId="77777777" w:rsidR="00E458F2" w:rsidRPr="00E458F2" w:rsidRDefault="00E458F2" w:rsidP="00E458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458F2">
        <w:rPr>
          <w:rFonts w:ascii="Verdana" w:eastAsia="Times New Roman" w:hAnsi="Verdana" w:cs="Times New Roman"/>
          <w:b/>
          <w:bCs/>
          <w:color w:val="000000"/>
          <w:kern w:val="0"/>
          <w:sz w:val="18"/>
          <w:szCs w:val="18"/>
          <w:lang w:eastAsia="ru-RU"/>
        </w:rPr>
        <w:t>Глава 2. Международно-правовое регулирование борьбы с транснациональной организованной преступностью 84</w:t>
      </w:r>
    </w:p>
    <w:p w14:paraId="49097736" w14:textId="77777777" w:rsidR="00E458F2" w:rsidRPr="00E458F2" w:rsidRDefault="00E458F2" w:rsidP="00E458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58F2">
        <w:rPr>
          <w:rFonts w:ascii="Verdana" w:eastAsia="Times New Roman" w:hAnsi="Verdana" w:cs="Times New Roman"/>
          <w:color w:val="000000"/>
          <w:kern w:val="0"/>
          <w:sz w:val="18"/>
          <w:szCs w:val="18"/>
          <w:lang w:eastAsia="ru-RU"/>
        </w:rPr>
        <w:t>1. Конвенция ООН против транснациональной организованной преступности: юридическая природа, проблемы эффективности 84</w:t>
      </w:r>
    </w:p>
    <w:p w14:paraId="0B2F324E" w14:textId="77777777" w:rsidR="00E458F2" w:rsidRPr="00E458F2" w:rsidRDefault="00E458F2" w:rsidP="00E458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58F2">
        <w:rPr>
          <w:rFonts w:ascii="Verdana" w:eastAsia="Times New Roman" w:hAnsi="Verdana" w:cs="Times New Roman"/>
          <w:color w:val="000000"/>
          <w:kern w:val="0"/>
          <w:sz w:val="18"/>
          <w:szCs w:val="18"/>
          <w:lang w:eastAsia="ru-RU"/>
        </w:rPr>
        <w:t>2. Протоколы к Конвенции ООН против транснациональной организованной преступности как юридические средства обеспечения механизма борьбы государств с транснациональной организованной преступностью 112</w:t>
      </w:r>
    </w:p>
    <w:p w14:paraId="2CA98C17" w14:textId="77777777" w:rsidR="00E458F2" w:rsidRPr="00E458F2" w:rsidRDefault="00E458F2" w:rsidP="00E458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58F2">
        <w:rPr>
          <w:rFonts w:ascii="Verdana" w:eastAsia="Times New Roman" w:hAnsi="Verdana" w:cs="Times New Roman"/>
          <w:color w:val="000000"/>
          <w:kern w:val="0"/>
          <w:sz w:val="18"/>
          <w:szCs w:val="18"/>
          <w:lang w:eastAsia="ru-RU"/>
        </w:rPr>
        <w:t>3. Международно-правовые акты ООН и Совета Европы о борьбе с коррупцией 132</w:t>
      </w:r>
    </w:p>
    <w:p w14:paraId="7F701935" w14:textId="77777777" w:rsidR="00E458F2" w:rsidRPr="00E458F2" w:rsidRDefault="00E458F2" w:rsidP="00E458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458F2">
        <w:rPr>
          <w:rFonts w:ascii="Verdana" w:eastAsia="Times New Roman" w:hAnsi="Verdana" w:cs="Times New Roman"/>
          <w:b/>
          <w:bCs/>
          <w:color w:val="000000"/>
          <w:kern w:val="0"/>
          <w:sz w:val="18"/>
          <w:szCs w:val="18"/>
          <w:lang w:eastAsia="ru-RU"/>
        </w:rPr>
        <w:t>Глава 3. Проблемы реализации международно-правовых норм о борьбе с транснациональной преступностью в законодательстве Российской Федерации 160</w:t>
      </w:r>
    </w:p>
    <w:p w14:paraId="0A83F1B4" w14:textId="77777777" w:rsidR="00E458F2" w:rsidRPr="00E458F2" w:rsidRDefault="00E458F2" w:rsidP="00E458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58F2">
        <w:rPr>
          <w:rFonts w:ascii="Verdana" w:eastAsia="Times New Roman" w:hAnsi="Verdana" w:cs="Times New Roman"/>
          <w:color w:val="000000"/>
          <w:kern w:val="0"/>
          <w:sz w:val="18"/>
          <w:szCs w:val="18"/>
          <w:lang w:eastAsia="ru-RU"/>
        </w:rPr>
        <w:t>1.Специфика имплементации норм международного права о борьбе с транснациональной преступностью в уголовное законодательство Российской Федерации 160</w:t>
      </w:r>
    </w:p>
    <w:p w14:paraId="02DC4C27" w14:textId="77777777" w:rsidR="00E458F2" w:rsidRPr="00E458F2" w:rsidRDefault="00E458F2" w:rsidP="00E458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58F2">
        <w:rPr>
          <w:rFonts w:ascii="Verdana" w:eastAsia="Times New Roman" w:hAnsi="Verdana" w:cs="Times New Roman"/>
          <w:color w:val="000000"/>
          <w:kern w:val="0"/>
          <w:sz w:val="18"/>
          <w:szCs w:val="18"/>
          <w:lang w:eastAsia="ru-RU"/>
        </w:rPr>
        <w:t>2. Роль международно-правовых норм в борьбе с транснациональной организованной преступностью и противодействии коррупции в России 174</w:t>
      </w:r>
    </w:p>
    <w:p w14:paraId="58622BC3" w14:textId="77777777" w:rsidR="00E458F2" w:rsidRPr="00E458F2" w:rsidRDefault="00E458F2" w:rsidP="00E458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58F2">
        <w:rPr>
          <w:rFonts w:ascii="Verdana" w:eastAsia="Times New Roman" w:hAnsi="Verdana" w:cs="Times New Roman"/>
          <w:color w:val="000000"/>
          <w:kern w:val="0"/>
          <w:sz w:val="18"/>
          <w:szCs w:val="18"/>
          <w:lang w:eastAsia="ru-RU"/>
        </w:rPr>
        <w:t>Заключение 193</w:t>
      </w:r>
    </w:p>
    <w:p w14:paraId="4935CF81" w14:textId="77777777" w:rsidR="00E458F2" w:rsidRPr="00E458F2" w:rsidRDefault="00E458F2" w:rsidP="00E458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58F2">
        <w:rPr>
          <w:rFonts w:ascii="Verdana" w:eastAsia="Times New Roman" w:hAnsi="Verdana" w:cs="Times New Roman"/>
          <w:color w:val="000000"/>
          <w:kern w:val="0"/>
          <w:sz w:val="18"/>
          <w:szCs w:val="18"/>
          <w:lang w:eastAsia="ru-RU"/>
        </w:rPr>
        <w:t>Список использованной литературы</w:t>
      </w:r>
    </w:p>
    <w:p w14:paraId="02C6E730" w14:textId="77777777" w:rsidR="00E458F2" w:rsidRDefault="00E458F2" w:rsidP="00E458F2">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Критерии разграничения транснациональных преступлений и преступлений международного характера</w:t>
      </w:r>
    </w:p>
    <w:p w14:paraId="239FC61A"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Логика научного исследования требует, чтобы в своем научном движении автор настоящей диссертации в данной части работы попытался решить две методологически важные задачи. От их решения будет зависеть, в конечном счете, успех всего нашего научного проекта.</w:t>
      </w:r>
    </w:p>
    <w:p w14:paraId="437F86A0"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Первая задача сводится к четкому выявлению тех реальных объектов социальной действительности, которые относятся к явлению, именуемому «транснациональная организованная преступность». Это такие объекты, которые мы будем подвергать научному анализу, своего рода </w:t>
      </w:r>
      <w:r>
        <w:rPr>
          <w:rFonts w:ascii="Verdana" w:hAnsi="Verdana"/>
          <w:color w:val="000000"/>
          <w:sz w:val="18"/>
          <w:szCs w:val="18"/>
        </w:rPr>
        <w:lastRenderedPageBreak/>
        <w:t>«эмпирическая база» нашего исследования. Решение этой задачи видится в том, что автор должен предъявить факты, которые в наибольшей степени адекватны истинной природе, сущности ТОП. На основе обозрения этих фактов и применения дедуктивных методов научного исследования следует попытаться сформулировать причины ТОП в современных условиях, а также факторы, способствующие ее распространению.</w:t>
      </w:r>
    </w:p>
    <w:p w14:paraId="0E5C74EE"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Вторая методологически важная задача заключается в том, что на основе решения первой задачи, обозревая факты, доказывающие реальность феномена транснациональной организованной преступности, автор должен обратиться к характеристике ТОП «в снятом виде», освобожденном от частностей, что подразумевает выяснение существенных черт, признаков интересующего явления, а также формулировку «рабочего определения» понятия ТОП, опирающегося как на международную, так и национальную практику.</w:t>
      </w:r>
    </w:p>
    <w:p w14:paraId="0BFE88E9"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Выдвижение указанных научных задач связано с авторским убеждением в том, что транснациональная организованная преступность как любое реальное явление объективного мира может быть изучено и достоверно понято с помощью методологических средств материалистической диалектики - этого мощного инструмента познания любых явлений и процессов. Поэтому, думается, что к нашему научному предмету - ТОП -применимы такие категории диалектики, как «явление», «сущность», «причина», «следствие» и т.д.</w:t>
      </w:r>
    </w:p>
    <w:p w14:paraId="3ED6F9D5"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эмпирической основы дальнейшего правового осмысления интересующего нас объекта, приведем несколько фактов и цифровых данных, подтверждающих реальность, распространенность и опасность этого антисоциального явления - транснациональной организованной преступности.</w:t>
      </w:r>
    </w:p>
    <w:p w14:paraId="583B3A24"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марте 2010 г. Информационное агентство РосБалт сообщило, что наркодилеры поставляли гашиш из Ирана в Подмосковье. Преступники (граждане нескольких государств, входящих в преступную группу) преданы суду. «Основным источником поступления наркотиков на территорию страны являются транснациональные преступные группировки. Согласно Стратегии национальной безопасности РФ до 2020 года, прекращение их незаконной деятельности рассматривается в числе приоритетных задач», - заявил заместитель начальника РУФСКН по Краснодарскому краю Александр Петухов (из пресс-конференции, приуроченной к Всемирному дню борьбы с наркотиками и наркобизнесом, которая состоялась 1 марта 2010г. в Сочи) .</w:t>
      </w:r>
    </w:p>
    <w:p w14:paraId="73326824"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Другой пример связан со стремительным развитием Интернета (на конец 2014 г. в России насчитывалось более 76,3 млн. пользователей, что составило 62 % населения страны). Речь идет о том, что преступные сообщества организовали онлайновые продажи пиратских аудио- и видеоматериалов. Теперь ассортимент «товаров» включает наркотики, проституток, угнанные автомобили, оружие, подложные документы и даже человеческие органы для трансплантации. Понятно, что эта преступная деятельность не может ограничи ваться одним географическим ареалом, одной страной. Преступления совершаются столь масштабно только в рамках преступной кооперации международных преступных группировок.</w:t>
      </w:r>
    </w:p>
    <w:p w14:paraId="6FD230F3"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Также, по данным МВД России, в 2005 г. в стране было зафиксировано около 15 тысяч преступлений с использованием компьютерных технологий, причем почти 80 % из них - неправомерный доступ к информации и мошенничество. Особый интерес преступников вызывает конфиденциальная информация - сведения о банковских счетах и коды доступа пластиковых карт. Действия отдельных лиц представляют и более серьезную угрозу - они вербуют и финансируют террористов, торгуют оружием, наркотиками и людь 13 ми .</w:t>
      </w:r>
    </w:p>
    <w:p w14:paraId="6DACCE7D"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 разнообразии видов преступлений, относящихся к категории транснациональных, следует отметить, что в последние годы не снижается активность международных преступных группировок по отмыванию денег, как и не снижается активность правоохранительных органов по борьбе с указанным видом правонарушений. Так, в 2004 г. Росфинмониторингом проанализировано 25380 сомнительных финансовых операций. По 3260 материалам проведено расследование. В правоохранительные органы направлено 1720 материалов, на общую сумму 170 миллиардов рублей .</w:t>
      </w:r>
    </w:p>
    <w:p w14:paraId="197A8720"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По данным Росфинмониторинга, им во взаимодействии с другими государственными органами в результате проверки осуществления закупок товаров, работ и услуг, контролируемых лицами, зарегистрированными в офшорных юрисдикциях, за период 2013-2014 гг. выявлен целый ряд исполнителей по многомиллиардным контрактам на общую сумму свыше 275 млрд. рублей, имеющих учредительские связи с иностранными компаниями. К примеру, установлено хищение бюджетных денежных средств в рамках государственного контракта по опытно-конструкторской работе на сумму более 500 млн. руб.</w:t>
      </w:r>
    </w:p>
    <w:p w14:paraId="0C9E97E4" w14:textId="77777777" w:rsidR="00E458F2" w:rsidRDefault="00E458F2" w:rsidP="00E458F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Виды преступлений, совершаемых транснациональными преступными группами</w:t>
      </w:r>
    </w:p>
    <w:p w14:paraId="3B35C152"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Г.В. Игнатенко относит, в частности, незаконный оборот наркотических и психотропных веществ к преступлениям международного характера, поскольку они посягают на интересы нескольких государств и вследствие этого также представляют международную общественную опасность . Субъектами международных преступлений наряду с государствами признаются также «их руководители, высшие должностные лица, иные исполнители преступной политики» . В отличие от международных преступлений, преступления, совершаемые группировками транснациональной организованной преступности, совершаются физическими лицами и их объединениями.</w:t>
      </w:r>
    </w:p>
    <w:p w14:paraId="1846492C"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Думается, такой подход нуждается в уточнении. В частности, представляется, что наркопреступления нельзя относить к международным преступлениям по той причине, что цель данного вида правонарушений не причинение вреда интересам государства, а корысть. Кроме того, в действующем Уголовном кодексе РФ преступления международного характера выделены законодателем в отдельную главу 34 - «Преступления против мира и безопасности человечества». Среди 8 составов преступлений законодатель не посчитал необходимым отнести к преступлениям против мира незаконный оборот наркотических и психотропных веществ. Такой подход разделяется и специалистами в области уголовного права. Так, Г.П. Новоселов считает оправданным, что </w:t>
      </w:r>
      <w:r>
        <w:rPr>
          <w:rFonts w:ascii="Verdana" w:hAnsi="Verdana"/>
          <w:color w:val="000000"/>
          <w:sz w:val="18"/>
          <w:szCs w:val="18"/>
        </w:rPr>
        <w:lastRenderedPageBreak/>
        <w:t>незаконный оборот наркотических средств Уголовный кодекс России не рассматривает как преступления против мира и безопасности человечества .</w:t>
      </w:r>
    </w:p>
    <w:p w14:paraId="5B71E36A"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следует относить этот вид правонарушений к другому типу. Рассматриваемый вопрос подвергся анализу и со стороны юриста-международника Р.В. Нигматуллина .</w:t>
      </w:r>
    </w:p>
    <w:p w14:paraId="3B2E4FD2"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До сих пор мы говорили о транснациональной организованной преступности, оставляя за рамками нашего анализа важнейший вопрос о содержании этого понятия. В данном случае речь идет о том, какие виды криминализированных деяний включаются нашей юридической наукой, а также зарубежными авторами в понятие «транснациональная организованная преступность».</w:t>
      </w:r>
    </w:p>
    <w:p w14:paraId="7AB8FDDB"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принять во внимание доклад аналитика исследовательской службы Конгресса США Д. Вагли (JohnR. Wagley) от 20 марта 2006г., то его автор выделяет такие преступные деяния, охватываемые понятием «транснациональная организованная преступность», как: наркотерроризм, «ядерная контрабанда», торговля людьми, преступления в сфере интеллектуальной собственности и отмывание денег . Думается это весьма краткий перечень, который можно объяснить только субъективным взглядом автора. Действительность говорит о том, что «набор» правонарушений, входящих в ТОП, гораздо шире.</w:t>
      </w:r>
    </w:p>
    <w:p w14:paraId="25EFC135"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В сборнике «Критические размышления о транснациональной организованной преступности, отмывании денег и коррупции» (ред. М. Бир) , состоящем из 11 статей канадских ученых, критически оцениваются те меры, которые предпринимают правительства стран по борьбе с транснациональной организованной преступностью, отмыванием денег и коррупцией. В частности отмечается, что понятие «транснациональная организованная преступность должна исключать «корпоративную и беловоротничковую » преступность. Нам представляется подход авторов книги сомнительным по той причине, что статистика транснациональной организованной преступности увеличивается в настоящее время во многом за счет роста компьютерных преступлений, манипуляций с кредитными картами и т.д. Нередки случаи, когда преступники вынуждены, для реализации своего преступного умысла выходить за пределы своего государства. Это говорит о том, что указанные виды правонарушений нельзя исключать из группы ТОП.</w:t>
      </w:r>
    </w:p>
    <w:p w14:paraId="79D3D176"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в книге Ф. Мадсена «Транснациональная организованная преступность » (2009г.) автором в это понятие включаются такие явления, как распространение наркотиков, отмывание денег, полученных преступным путем, преступления с помощью глобальной сети Интернет, контрабанда товаров и людей, вымогательство и мошенничества, незаконные инсайдерские операции. Таким образом, как можно убедиться, Ф. Мадсен не включает терроризм в понятие «транснациональная организованная преступность».</w:t>
      </w:r>
    </w:p>
    <w:p w14:paraId="4E179972"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научной и публицистической литературе нередко смешивают понятия «международный терроризм», «государственный терроризм» и «транснациональная организованная преступность». Однако некоторые российские исследователи (И.П. Блищенко и Н.В. Жданов , Т.В. Мельник , Л.А. Моджорян , Е.Г. Ляхов , У.Р. Латыпов ) довольно четко раскрывают содержание указанных понятий. Например, Л.А. Моджорян пишет: «государственный терроризм - это тактика организованного </w:t>
      </w:r>
      <w:r>
        <w:rPr>
          <w:rFonts w:ascii="Verdana" w:hAnsi="Verdana"/>
          <w:color w:val="000000"/>
          <w:sz w:val="18"/>
          <w:szCs w:val="18"/>
        </w:rPr>
        <w:lastRenderedPageBreak/>
        <w:t>насилия государства или его органов, построенная на экономическом давлении, психологическом воздействии, политическом нажиме, военномвторжении</w:t>
      </w:r>
    </w:p>
    <w:p w14:paraId="7A6694BC" w14:textId="77777777" w:rsidR="00E458F2" w:rsidRDefault="00E458F2" w:rsidP="00E458F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Протоколы к Конвенции ООН против транснациональной организованной преступности как юридические средства обеспечения механизма борьбы государств с транснациональной организованной преступностью</w:t>
      </w:r>
    </w:p>
    <w:p w14:paraId="4C64E6D5"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в этом выражается открытость Конвенции в плане её стремления совершенствоваться посредством развития понятийно-методологического аппарата для его однозначного понимания и использования в правоприменительной практике государств-участников. Так, при «конструировании ст. 5 Конвенции, закрепляющей обязательства государств криминализировать участие в организованной преступной группе, разработчики учитывали как известную американскому праву концепцию сговора, в соответствии с которой сами факты создания преступной организации и участия в ней рассматриваются как оконченные преступления. Так и используемую в континентальном праве теорию соучастия, где сговор на совершение преступления или поиск сообщников оценивается как приготовление к соответствующему преступлению» .</w:t>
      </w:r>
    </w:p>
    <w:p w14:paraId="55F86101"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В-седьмых, впервые на международно-правовом уровне в Конвенции детально конкретизирован порядок осуществления взаимной правовой помощи странами-участницами.</w:t>
      </w:r>
    </w:p>
    <w:p w14:paraId="34AE4538"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В-восьмых, Конвенция установила ряд положений, носящих принципиальный характер для международно-правовых основ борьбы с транснациональной организованной преступностью. По нашему мнению, это принцип информационной достаточности, который выражается в содействии силами средств массовой информации углублению понимания обществом факта существования, причин распространения и опасного характера транснациональной организованной преступности, а также создаваемых ею угроз в будущем.</w:t>
      </w:r>
    </w:p>
    <w:p w14:paraId="1CA257BA"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анализ Конвенции позволил определить ряд так называемых «проблемных норм» с точки зрения их теоретико-правового совершенства. Разумеется, мы понимаем причину появления не всегда исчерпывающе точных формулировок, «обтекаемых» диспозиций таких норм. Они кроются</w:t>
      </w:r>
    </w:p>
    <w:p w14:paraId="1B0C4101"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в распространении в конвенциальном международном праве так называемого «мягкого права», призванного соблюсти основные принципы международного права, закреплённые в Уставе ООН, и, прежде всего, принцип, касающийся обязанности в соответствии с Уставом не вмешиваться в дела, входящие во внутреннюю компетенцию любого другого государства, и принцип суверенного равенства государств .</w:t>
      </w:r>
    </w:p>
    <w:p w14:paraId="40269350"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этой связи Ю.С. Безбородов полагает, что в большинстве случаев результатом правотворческой деятельности международных организаций «становятся не правоустанавливающие акты, а акты, содержащие нормы так называемого «мягкого права»» . В настоящее время серьёзно изучается во 191 прос: является ли «мягкое право» частью права международного? Как правило, «мягкое право» характерно для рамочных документов, которые принимаются с целью сближения </w:t>
      </w:r>
      <w:r>
        <w:rPr>
          <w:rFonts w:ascii="Verdana" w:hAnsi="Verdana"/>
          <w:color w:val="000000"/>
          <w:sz w:val="18"/>
          <w:szCs w:val="18"/>
        </w:rPr>
        <w:lastRenderedPageBreak/>
        <w:t>законодательных положений государств-членов. «Мягкое право» в основном затрагивает вопросы юстиции, и в гораздо меньшей степени распространяется на нормы материального права . В научной литературе сложилось мнение, что нормы «жёсткого права» закрепляются в международных договорах, а нормы «мягкого права» в модельных нормативных актах (в типовых, а также в отдельных межгосударственных соглашениях, рамочных соглашениях, рекомендациях). В частности, И.И.</w:t>
      </w:r>
    </w:p>
    <w:p w14:paraId="22EE36A3"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Лукашук отметил, что нормы «мягкого права», безусловно, являются неотъемлемой частью международной нормативной системы и значительно влияют на её развитие и содержание. В свою очередь В.В. Гаврилов в своей докторской диссертации отмечает, что «нормы международного «мягкого права» ...не могут быть включены в состав нормативной составляющей международной правовой системы. Их следует рассматривать в качестве международных договоренностей или обыкновений, нормативно-регулирующее воздействие которых на поведение субъектов мирового сообщества не имеет юридического характера» . Думается, эта точка зрения заслуживает одобрения.</w:t>
      </w:r>
    </w:p>
    <w:p w14:paraId="27B2C523"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Международная правоприменительная практика свидетельствует о том, что обосновывая свою правовую позицию, страны-участницы международных договоров обращаются к нормам «мягкого права» точно также как и к нормам «жёсткого права». По нашему мнению, нормы «мягкого права» способствуют безболезненному вхождению государств в международное правовое поле, акцентируя их право совершать действия, исходя из собственных усмотрений. Для этого в международных правовых актах содержатся специальные формулировки: «принимать в будущем необходимые меры», «стремиться», «добиваться», «государства - участники могут рассмотреть возможность установления требования о том...», «в максимальной степени, возможной в рамках своей внутренней правовой системы», «государства-участники стремятся заключить двусторонние и многосторонние соглашения или договорённости...» и т.д.</w:t>
      </w:r>
    </w:p>
    <w:p w14:paraId="104192DB"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В Палермской Конвенции такие «мягкие нормы» представлены в значительном объёме. «Мягкие нормы» можно рассматривать как определенную разновидность норм диспозитивного вида. Диспозитивность нормы предполагает свободное усмотрение сторон, которые наполняют предписания соб ственными содержанием и нормативным усмотрением. Так же и «мягкие» нормы регулируют отношения, позволяя государствам активно проявлять усмотрение в установленных рамках.</w:t>
      </w:r>
    </w:p>
    <w:p w14:paraId="3EAB8572" w14:textId="77777777" w:rsidR="00E458F2" w:rsidRDefault="00E458F2" w:rsidP="00E458F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Роль международно-правовых норм в борьбе с транснациональной организованной преступностью и противодействии коррупции в России</w:t>
      </w:r>
    </w:p>
    <w:p w14:paraId="552B2E7E"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Публичный же интерес, в свою очередь, представляет собой интерес, который признан государством, то есть обеспечен правом и является интересом социальной общности, удовлетворение которого служит условием и гарантией её существования и развития. В связи с этим не всякое должностное лицо является публичным. По стандартам Конвенции ООН против коррупции положение о незаконном обогащении применимо только к публичным должностным лицам, а не ко всем должностным лицам.</w:t>
      </w:r>
    </w:p>
    <w:p w14:paraId="74A38DEF"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Примерно 40 % текста Конвенции ООН против коррупции и 30 % текста Конвенции СЕ об уголовной ответственности за коррупцию посвящены вопросам отмывания доходов от преступлений, связанных с коррупцией, ареста, конфискации имущества и возврата активов. Всё это способствует, несомненно, созданию глобальной системы управления мировыми финансовыми потоками и контролю над ними. Тем более, что мировое сообщество имеет с организационные структуры, зарекомендовавшие себя эффективными органами по борьбе с коррупцией и, в частности, с её главным методом - отмыванием денег.</w:t>
      </w:r>
    </w:p>
    <w:p w14:paraId="4188F4D2"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Мировое сообщество явственно осознало проблему отмывания незаконных денежных средств ещё в 80-х г.г. XX века. «Термин «отмывание денег» обозначает финансовые операции, цель которых - скрыть криминальный источник происхождения средств и предоставить деньги в качестве полученных законным путём, обеспечив тем самым себе возможность их использования в легальном обороте. В правовом смысле в рамках судебной процедуры этот термин был впервые использован в США в ходе рассмотрения дела о конфискации денег, «отмытых» Колумбийской кокаиновой мафией» . Первая попытка решить данную проблему была предпринята 20 декабря 1988 г., когда была принята Конвенция ООН по борьбе против незаконного оборота наркотических средств и психотропных веществ (Венская</w:t>
      </w:r>
    </w:p>
    <w:p w14:paraId="3E2504D1"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Конвенция). Так как незаконный оборот наркотиков обеспечивал огромные прибыли, это позволяло транснациональным преступным организациям благодаря коррумпированности чиновников проникать в государственные (правительственные) механизмы, банковскую сферу, вовлекать их в сложную систему преступных зависимостей, обязательств и связей. «Поэтому целью Венской Конвенции явилась не только борьба с незаконным оборотом наркотиков, но и принятие мер противодействия легализации криминальных доходов.</w:t>
      </w:r>
    </w:p>
    <w:p w14:paraId="2D368850"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то, что значительная роль в отмывании преступных доходов принадлежит банкам, мировое сообщество предприняло беспрецедентный шаг, посягнув на принцип банковской тайны» . В п.З ст. 5 Венской Конвенции указывалось, что с целью осуществления конфискации каждая Сторона уполномочивает свои суды или другие компетентные органы издавать постановления о предоставлении либо аресте банковских, финансовых или коммерческих документов, обеспеченные запретом уклонения от принятия мер в соответствии с положениями данного пункта, ссылаясь на необходимость сохранения банковской тайны. Более того, согласно ст. 7 Конвенции, стороны предоставляют друг другу самую широкую взаимную юридическую помощь в расследовании, уголовном преследовании и судебном разбирательстве, касающихся уголовного правонарушения, признанного таковым в соответствии с п.1 ст. 3 Конвенции, причём сторона не может отказываться от предоставления юридической помощи, ссылаясь на банковскую тайну.</w:t>
      </w:r>
    </w:p>
    <w:p w14:paraId="20183C5B"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Приведённые положения можно признать заметным прорывом в международном законодательстве, поскольку впервые был создан реальный механизм противодействия отмыванию доходов, полученных от коррупции, а, следовательно, это был первый, но самый решительный этап в плане борьбы международного сообщества с транснациональной организованной преступностью, основывающейся на коррупции.</w:t>
      </w:r>
    </w:p>
    <w:p w14:paraId="5CD039FC"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Этот механизм, показав на практике свою эффективность, стал внедряться практически во все международные правовые акты, касающиеся вопросов противодействия транснациональной организованной преступности.</w:t>
      </w:r>
    </w:p>
    <w:p w14:paraId="3B4D6AF7"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п. 2 ст. 23 Конвенции СЕ устанавливается: «Каждая Сторона принимает такие законодательные и иные меры, которые могут потребоваться в целях наделения её судов или других компетентных органов полномочиями отдавать распоряжения о предоставлении и аресте банковской, финансовой или коммерческой документации в целях осуществления действий, предусмотренных пунктом 1 настоящей статьи». В п. 3 данной статьи устанавливается, что банковская тайна не является препятствием для осуществления мер, предусмотренными её пунктами 1 и 2.</w:t>
      </w:r>
    </w:p>
    <w:p w14:paraId="240D4738"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сделать вывод, что Конвенция СЕ расширила содержание банковской тайны, присовокупив к ней и коммерческую тайну. Тем самым, был создан реальный механизм привлечения к уголовной ответственности за коррупцию и лиц, связанных с частным сектором.</w:t>
      </w:r>
    </w:p>
    <w:p w14:paraId="2C71FFBE" w14:textId="77777777" w:rsidR="00E458F2" w:rsidRDefault="00E458F2" w:rsidP="00E458F2">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22 Конвенции ООН против коррупции положения п. 2 ст. 23 Конвенции СЕ получили дальнейшее развитие: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совершено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данного предмета, находящегося в ведении этого лица в силу его служебного положения».</w:t>
      </w:r>
    </w:p>
    <w:p w14:paraId="270C5AB0" w14:textId="77777777" w:rsidR="00E458F2" w:rsidRPr="00E458F2" w:rsidRDefault="00E458F2" w:rsidP="00E458F2"/>
    <w:sectPr w:rsidR="00E458F2" w:rsidRPr="00E458F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9C15D" w14:textId="77777777" w:rsidR="00876A42" w:rsidRDefault="00876A42">
      <w:pPr>
        <w:spacing w:after="0" w:line="240" w:lineRule="auto"/>
      </w:pPr>
      <w:r>
        <w:separator/>
      </w:r>
    </w:p>
  </w:endnote>
  <w:endnote w:type="continuationSeparator" w:id="0">
    <w:p w14:paraId="3B5CC048" w14:textId="77777777" w:rsidR="00876A42" w:rsidRDefault="0087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A6773" w14:textId="77777777" w:rsidR="00876A42" w:rsidRDefault="00876A42">
      <w:pPr>
        <w:spacing w:after="0" w:line="240" w:lineRule="auto"/>
      </w:pPr>
      <w:r>
        <w:separator/>
      </w:r>
    </w:p>
  </w:footnote>
  <w:footnote w:type="continuationSeparator" w:id="0">
    <w:p w14:paraId="5F3188F4" w14:textId="77777777" w:rsidR="00876A42" w:rsidRDefault="00876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6C151E3"/>
    <w:multiLevelType w:val="multilevel"/>
    <w:tmpl w:val="85FEDD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7A724E6"/>
    <w:multiLevelType w:val="multilevel"/>
    <w:tmpl w:val="6DD8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7902AD"/>
    <w:multiLevelType w:val="multilevel"/>
    <w:tmpl w:val="9448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0A6B9D"/>
    <w:multiLevelType w:val="multilevel"/>
    <w:tmpl w:val="708E6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1C02D7"/>
    <w:multiLevelType w:val="multilevel"/>
    <w:tmpl w:val="3800A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BF173C9"/>
    <w:multiLevelType w:val="multilevel"/>
    <w:tmpl w:val="496413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CFB6062"/>
    <w:multiLevelType w:val="multilevel"/>
    <w:tmpl w:val="9C062D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8F7BB3"/>
    <w:multiLevelType w:val="multilevel"/>
    <w:tmpl w:val="BB3090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3475A6"/>
    <w:multiLevelType w:val="multilevel"/>
    <w:tmpl w:val="51C2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7" w15:restartNumberingAfterBreak="0">
    <w:nsid w:val="40955185"/>
    <w:multiLevelType w:val="multilevel"/>
    <w:tmpl w:val="2FAC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6B67C60"/>
    <w:multiLevelType w:val="multilevel"/>
    <w:tmpl w:val="83B8C1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D17346E"/>
    <w:multiLevelType w:val="multilevel"/>
    <w:tmpl w:val="413050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0441797"/>
    <w:multiLevelType w:val="multilevel"/>
    <w:tmpl w:val="8002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5F8071BC"/>
    <w:multiLevelType w:val="multilevel"/>
    <w:tmpl w:val="F6B8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1DB595F"/>
    <w:multiLevelType w:val="multilevel"/>
    <w:tmpl w:val="D32CE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3CA0CD8"/>
    <w:multiLevelType w:val="multilevel"/>
    <w:tmpl w:val="DA5A2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AE4582"/>
    <w:multiLevelType w:val="multilevel"/>
    <w:tmpl w:val="9BE66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6"/>
  </w:num>
  <w:num w:numId="7">
    <w:abstractNumId w:val="39"/>
  </w:num>
  <w:num w:numId="8">
    <w:abstractNumId w:val="47"/>
  </w:num>
  <w:num w:numId="9">
    <w:abstractNumId w:val="29"/>
  </w:num>
  <w:num w:numId="10">
    <w:abstractNumId w:val="33"/>
  </w:num>
  <w:num w:numId="11">
    <w:abstractNumId w:val="45"/>
  </w:num>
  <w:num w:numId="12">
    <w:abstractNumId w:val="40"/>
  </w:num>
  <w:num w:numId="13">
    <w:abstractNumId w:val="31"/>
  </w:num>
  <w:num w:numId="14">
    <w:abstractNumId w:val="44"/>
  </w:num>
  <w:num w:numId="15">
    <w:abstractNumId w:val="34"/>
  </w:num>
  <w:num w:numId="16">
    <w:abstractNumId w:val="35"/>
  </w:num>
  <w:num w:numId="17">
    <w:abstractNumId w:val="27"/>
  </w:num>
  <w:num w:numId="18">
    <w:abstractNumId w:val="30"/>
  </w:num>
  <w:num w:numId="19">
    <w:abstractNumId w:val="32"/>
  </w:num>
  <w:num w:numId="20">
    <w:abstractNumId w:val="28"/>
  </w:num>
  <w:num w:numId="21">
    <w:abstractNumId w:val="41"/>
  </w:num>
  <w:num w:numId="22">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30391</TotalTime>
  <Pages>8</Pages>
  <Words>3281</Words>
  <Characters>18706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5838</cp:revision>
  <cp:lastPrinted>2009-02-06T05:36:00Z</cp:lastPrinted>
  <dcterms:created xsi:type="dcterms:W3CDTF">2016-09-19T15:12:00Z</dcterms:created>
  <dcterms:modified xsi:type="dcterms:W3CDTF">2017-02-18T21:11:00Z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