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1E38EC" w:rsidRDefault="001E38EC" w:rsidP="001E38EC">
      <w:r w:rsidRPr="005E3DC8">
        <w:rPr>
          <w:rFonts w:ascii="Times New Roman" w:eastAsia="Times New Roman" w:hAnsi="Times New Roman" w:cs="Times New Roman"/>
          <w:b/>
          <w:sz w:val="24"/>
          <w:szCs w:val="24"/>
          <w:lang w:eastAsia="ru-RU"/>
        </w:rPr>
        <w:t xml:space="preserve">Мирончук Наталія Миколаївна, </w:t>
      </w:r>
      <w:r w:rsidRPr="005E3DC8">
        <w:rPr>
          <w:rFonts w:ascii="Times New Roman" w:eastAsia="Times New Roman" w:hAnsi="Times New Roman" w:cs="Times New Roman"/>
          <w:sz w:val="24"/>
          <w:szCs w:val="24"/>
          <w:lang w:eastAsia="ru-RU"/>
        </w:rPr>
        <w:t>доцент кафедри педагогіки, професійної освіти та управління освітніми закладами, Житомирський державний університет імені Івана Франка. Назва дисертації: «</w:t>
      </w:r>
      <w:r w:rsidRPr="005E3DC8">
        <w:rPr>
          <w:rFonts w:ascii="Times New Roman" w:eastAsia="Times New Roman" w:hAnsi="Times New Roman" w:cs="Times New Roman"/>
          <w:bCs/>
          <w:sz w:val="24"/>
          <w:szCs w:val="24"/>
          <w:lang w:eastAsia="ru-RU"/>
        </w:rPr>
        <w:t>Теоретичні і методичні основи контекстної підготовки майбутніх викладачів вищої школи до самоорганізації у професійній діяльності</w:t>
      </w:r>
      <w:r w:rsidRPr="005E3DC8">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14.053.01 Житомирського державного університету імені Івана Франка</w:t>
      </w:r>
    </w:p>
    <w:sectPr w:rsidR="008166D5" w:rsidRPr="001E38EC"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1E38EC" w:rsidRPr="001E38EC">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01387-880F-4352-A4A9-61E9C077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2020-12-03T12:08:00Z</dcterms:created>
  <dcterms:modified xsi:type="dcterms:W3CDTF">2020-12-03T13:46:00Z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