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7D24" w14:textId="48F09713" w:rsidR="00C32625" w:rsidRDefault="00EB2A2B" w:rsidP="00EB2A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Фіалко Сергій Юрійович. Агрегатний багаторівневий метод розв'язування скінченноелементних задач будівельної механіки: дис... д-ра техн. наук: 05.23.17 / Київський національний ун-т будівництва і архітектури. - К., 2004</w:t>
      </w:r>
    </w:p>
    <w:p w14:paraId="50AF5F81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Фіалко С.Ю</w:t>
      </w: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. Агрегатний багаторівневий метод розв’язування скінченноелементних задач будівельної механіки. – Рукопис.</w:t>
      </w:r>
    </w:p>
    <w:p w14:paraId="72EFC03C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05.23.17 – будівельна механіка. Київський національний університет будівництва і архітектури, Київ, 2004.</w:t>
      </w:r>
    </w:p>
    <w:p w14:paraId="72AEBEF8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Дисертація, присвячена розробці сімейства ефективних ітераційних методів розв’язування великорозмірних скінченноелементних задач будівельної механіки (статика і власні коливання). Ці методи, засновані на методі спряжених градієнтів з агрегатним багаторівневим передобумовленням, що розроблене на підставі поелементного підходу формування матриці жорсткості агрегатної моделі та багатофронтального методу її факторизації. Представлені методи демонструють високу стійкість до поганої обумовленості і швидку збіжність.</w:t>
      </w:r>
    </w:p>
    <w:p w14:paraId="34E135FE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узагальнений метод спряжених градієнтів із зсувами у агрегатному багаторівневому передобумовленні для розв’язування алгебраїчної узагальненої проблеми власних значень (вільні коливання), що дозволяє уникнути замикання збіжності, яким страждає класичний метод спряжених градієнтів.</w:t>
      </w:r>
    </w:p>
    <w:p w14:paraId="3EE11B87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градієнтного підходу з агрегатним багаторівневим передобумовленням розроблено Рітц-градієнт метод для наближеного визначення нижніх частот і форм власних коливань, що не вимагає факторизації матриці жорсткості.</w:t>
      </w:r>
    </w:p>
    <w:p w14:paraId="5CE9E41B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Усі розроблені методи доведені до високого рівня надійності, що дозволило застосувати їх у МСЕ програмах масового використання Robot Millennium і SCAD.</w:t>
      </w:r>
    </w:p>
    <w:p w14:paraId="13E0C663" w14:textId="77777777" w:rsidR="00EB2A2B" w:rsidRPr="00EB2A2B" w:rsidRDefault="00EB2A2B" w:rsidP="00EB2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2A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Ключові слова</w:t>
      </w:r>
      <w:r w:rsidRPr="00EB2A2B">
        <w:rPr>
          <w:rFonts w:ascii="Times New Roman" w:eastAsia="Times New Roman" w:hAnsi="Times New Roman" w:cs="Times New Roman"/>
          <w:color w:val="000000"/>
          <w:sz w:val="27"/>
          <w:szCs w:val="27"/>
        </w:rPr>
        <w:t>. Агрегатне багаторівневе передобумовлення, метод спряжених градієнтів, багатофронтальний метод, розріджена матриця, збіжність, метод скінченних елементів, власні коливання, пролонгування, згладження.</w:t>
      </w:r>
    </w:p>
    <w:p w14:paraId="50E08CD7" w14:textId="77777777" w:rsidR="00EB2A2B" w:rsidRPr="00EB2A2B" w:rsidRDefault="00EB2A2B" w:rsidP="00EB2A2B"/>
    <w:sectPr w:rsidR="00EB2A2B" w:rsidRPr="00EB2A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8405" w14:textId="77777777" w:rsidR="00B37174" w:rsidRDefault="00B37174">
      <w:pPr>
        <w:spacing w:after="0" w:line="240" w:lineRule="auto"/>
      </w:pPr>
      <w:r>
        <w:separator/>
      </w:r>
    </w:p>
  </w:endnote>
  <w:endnote w:type="continuationSeparator" w:id="0">
    <w:p w14:paraId="3B355AE1" w14:textId="77777777" w:rsidR="00B37174" w:rsidRDefault="00B3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1315" w14:textId="77777777" w:rsidR="00B37174" w:rsidRDefault="00B37174">
      <w:pPr>
        <w:spacing w:after="0" w:line="240" w:lineRule="auto"/>
      </w:pPr>
      <w:r>
        <w:separator/>
      </w:r>
    </w:p>
  </w:footnote>
  <w:footnote w:type="continuationSeparator" w:id="0">
    <w:p w14:paraId="51C42A86" w14:textId="77777777" w:rsidR="00B37174" w:rsidRDefault="00B3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71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174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64855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12080</cp:revision>
  <dcterms:created xsi:type="dcterms:W3CDTF">2024-06-20T08:51:00Z</dcterms:created>
  <dcterms:modified xsi:type="dcterms:W3CDTF">2024-11-10T00:29:00Z</dcterms:modified>
  <cp:category/>
</cp:coreProperties>
</file>