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0E" w:rsidRPr="0077030E" w:rsidRDefault="0077030E" w:rsidP="0077030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7030E">
        <w:rPr>
          <w:rFonts w:ascii="Arial" w:hAnsi="Arial" w:cs="Arial"/>
          <w:b/>
          <w:bCs/>
          <w:color w:val="000000"/>
          <w:kern w:val="0"/>
          <w:sz w:val="28"/>
          <w:szCs w:val="28"/>
          <w:lang w:eastAsia="ru-RU"/>
        </w:rPr>
        <w:t>Тінькова Дар’я Сергіївна</w:t>
      </w:r>
      <w:r w:rsidRPr="0077030E">
        <w:rPr>
          <w:rFonts w:ascii="Arial" w:hAnsi="Arial" w:cs="Arial"/>
          <w:color w:val="000000"/>
          <w:kern w:val="0"/>
          <w:sz w:val="28"/>
          <w:szCs w:val="28"/>
          <w:lang w:eastAsia="ru-RU"/>
        </w:rPr>
        <w:t xml:space="preserve">, методист Навчально-методичного центру професійно-технічної освіти у Черкаській області, тема дисертації: «Методика навчання стереометрії учнів професійно-технічних навчальних закладів машинобудівного профілю», (014 Середня освіта (математика)). Спеціалізована вчена рада ДФ 73.053.001 в Черкаському національному університеті імені Богдана Хмельницького </w:t>
      </w:r>
    </w:p>
    <w:p w:rsidR="00C26D80" w:rsidRPr="0077030E" w:rsidRDefault="00C26D80" w:rsidP="0077030E"/>
    <w:sectPr w:rsidR="00C26D80" w:rsidRPr="0077030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77030E" w:rsidRPr="007703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0A912-3403-4142-BA56-A15258FC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2021-10-09T12:28:00Z</dcterms:created>
  <dcterms:modified xsi:type="dcterms:W3CDTF">2021-10-15T13:37:00Z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