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F133A" w14:textId="4A2A5013" w:rsidR="00663AD0" w:rsidRDefault="005A7CA9" w:rsidP="005A7CA9">
      <w:pPr>
        <w:rPr>
          <w:rFonts w:ascii="Verdana" w:hAnsi="Verdana"/>
          <w:b/>
          <w:bCs/>
          <w:color w:val="000000"/>
          <w:shd w:val="clear" w:color="auto" w:fill="FFFFFF"/>
        </w:rPr>
      </w:pPr>
      <w:r>
        <w:rPr>
          <w:rFonts w:ascii="Verdana" w:hAnsi="Verdana"/>
          <w:b/>
          <w:bCs/>
          <w:color w:val="000000"/>
          <w:shd w:val="clear" w:color="auto" w:fill="FFFFFF"/>
        </w:rPr>
        <w:t xml:space="preserve">Ганічева Тетяна Вікторівна. Методика навчання майбутніх філологів усного англомовного двостороннього перекладу у галузі прав людини. : Дис... канд. наук: 13.00.02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A7CA9" w:rsidRPr="005A7CA9" w14:paraId="36666509" w14:textId="77777777" w:rsidTr="005A7C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A7CA9" w:rsidRPr="005A7CA9" w14:paraId="3FD113A6" w14:textId="77777777">
              <w:trPr>
                <w:tblCellSpacing w:w="0" w:type="dxa"/>
              </w:trPr>
              <w:tc>
                <w:tcPr>
                  <w:tcW w:w="0" w:type="auto"/>
                  <w:vAlign w:val="center"/>
                  <w:hideMark/>
                </w:tcPr>
                <w:p w14:paraId="41BBD6B2" w14:textId="77777777" w:rsidR="005A7CA9" w:rsidRPr="005A7CA9" w:rsidRDefault="005A7CA9" w:rsidP="005A7C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7CA9">
                    <w:rPr>
                      <w:rFonts w:ascii="Times New Roman" w:eastAsia="Times New Roman" w:hAnsi="Times New Roman" w:cs="Times New Roman"/>
                      <w:b/>
                      <w:bCs/>
                      <w:sz w:val="24"/>
                      <w:szCs w:val="24"/>
                    </w:rPr>
                    <w:lastRenderedPageBreak/>
                    <w:t>Ганічева Т.В. Методика навчання майбутніх філологів усного англомовного двостороннього перекладу у галузі прав людини. – Рукопис.</w:t>
                  </w:r>
                </w:p>
                <w:p w14:paraId="5E284806" w14:textId="77777777" w:rsidR="005A7CA9" w:rsidRPr="005A7CA9" w:rsidRDefault="005A7CA9" w:rsidP="005A7C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7CA9">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w:t>
                  </w:r>
                  <w:r w:rsidRPr="005A7CA9">
                    <w:rPr>
                      <w:rFonts w:ascii="Times New Roman" w:eastAsia="Times New Roman" w:hAnsi="Times New Roman" w:cs="Times New Roman"/>
                      <w:b/>
                      <w:bCs/>
                      <w:sz w:val="24"/>
                      <w:szCs w:val="24"/>
                    </w:rPr>
                    <w:t>– </w:t>
                  </w:r>
                  <w:r w:rsidRPr="005A7CA9">
                    <w:rPr>
                      <w:rFonts w:ascii="Times New Roman" w:eastAsia="Times New Roman" w:hAnsi="Times New Roman" w:cs="Times New Roman"/>
                      <w:sz w:val="24"/>
                      <w:szCs w:val="24"/>
                    </w:rPr>
                    <w:t>теорія та методика навчання: германські мови. – Київський національний лінгвістичний університет, Київ, 2008.</w:t>
                  </w:r>
                </w:p>
                <w:p w14:paraId="4A5FF475" w14:textId="77777777" w:rsidR="005A7CA9" w:rsidRPr="005A7CA9" w:rsidRDefault="005A7CA9" w:rsidP="005A7C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7CA9">
                    <w:rPr>
                      <w:rFonts w:ascii="Times New Roman" w:eastAsia="Times New Roman" w:hAnsi="Times New Roman" w:cs="Times New Roman"/>
                      <w:sz w:val="24"/>
                      <w:szCs w:val="24"/>
                    </w:rPr>
                    <w:t>Дисертацію присвячено вирішенню проблеми навчання майбутніх філологів усного двостороннього (з англійської мови на українську і навпаки) перекладу у галузі прав людини. У роботі теоретично обґрунтовано і практично розроблено методику навчання майбутніх філологів усного англомовного двостороннього перекладу у галузі прав людини, запропоновано видові ознаки вправ для навчання усного перекладу; набули подальшого розвитку дослідження типології перекладацьких помилок та проблема оцінювання усних перекладів; узагальнено підходи до визначення компонентного складу перекладацької компетенції та до вирішення проблеми вправ для навчання усного перекладу. В результаті проведеного дослідження розроблено комплекс вправ для навчання усного перекладу; сформульовано методичні рекомендації щодо використання запропонованого комплексу та створено посібник для навчання усного перекладу.</w:t>
                  </w:r>
                </w:p>
                <w:p w14:paraId="5E320405" w14:textId="77777777" w:rsidR="005A7CA9" w:rsidRPr="005A7CA9" w:rsidRDefault="005A7CA9" w:rsidP="005A7C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7CA9">
                    <w:rPr>
                      <w:rFonts w:ascii="Times New Roman" w:eastAsia="Times New Roman" w:hAnsi="Times New Roman" w:cs="Times New Roman"/>
                      <w:sz w:val="24"/>
                      <w:szCs w:val="24"/>
                    </w:rPr>
                    <w:t>Ефективність запропонованої методики перевірено і підтверджено в ході експериментального навчання і впроваджено у навчальний процес трьох ВНЗ України.</w:t>
                  </w:r>
                </w:p>
              </w:tc>
            </w:tr>
          </w:tbl>
          <w:p w14:paraId="52EBAD5B" w14:textId="77777777" w:rsidR="005A7CA9" w:rsidRPr="005A7CA9" w:rsidRDefault="005A7CA9" w:rsidP="005A7CA9">
            <w:pPr>
              <w:spacing w:after="0" w:line="240" w:lineRule="auto"/>
              <w:rPr>
                <w:rFonts w:ascii="Times New Roman" w:eastAsia="Times New Roman" w:hAnsi="Times New Roman" w:cs="Times New Roman"/>
                <w:sz w:val="24"/>
                <w:szCs w:val="24"/>
              </w:rPr>
            </w:pPr>
          </w:p>
        </w:tc>
      </w:tr>
      <w:tr w:rsidR="005A7CA9" w:rsidRPr="005A7CA9" w14:paraId="69656BE1" w14:textId="77777777" w:rsidTr="005A7C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A7CA9" w:rsidRPr="005A7CA9" w14:paraId="391837C1" w14:textId="77777777">
              <w:trPr>
                <w:tblCellSpacing w:w="0" w:type="dxa"/>
              </w:trPr>
              <w:tc>
                <w:tcPr>
                  <w:tcW w:w="0" w:type="auto"/>
                  <w:vAlign w:val="center"/>
                  <w:hideMark/>
                </w:tcPr>
                <w:p w14:paraId="113ED01B" w14:textId="77777777" w:rsidR="005A7CA9" w:rsidRPr="005A7CA9" w:rsidRDefault="005A7CA9" w:rsidP="005A7C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7CA9">
                    <w:rPr>
                      <w:rFonts w:ascii="Times New Roman" w:eastAsia="Times New Roman" w:hAnsi="Times New Roman" w:cs="Times New Roman"/>
                      <w:sz w:val="24"/>
                      <w:szCs w:val="24"/>
                    </w:rPr>
                    <w:t>Теоретичні та практичні результати дослідження дали підстави зробити такі висновки:</w:t>
                  </w:r>
                </w:p>
                <w:p w14:paraId="31C25A60" w14:textId="77777777" w:rsidR="005A7CA9" w:rsidRPr="005A7CA9" w:rsidRDefault="005A7CA9" w:rsidP="005A7C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7CA9">
                    <w:rPr>
                      <w:rFonts w:ascii="Times New Roman" w:eastAsia="Times New Roman" w:hAnsi="Times New Roman" w:cs="Times New Roman"/>
                      <w:sz w:val="24"/>
                      <w:szCs w:val="24"/>
                    </w:rPr>
                    <w:t>Зміст поняття „перекладацька компетенція” визначається як здатність перекладати на фаховому рівні і включає шість компонентів (комунікативний, зокрема, предметний і лексичний; професійно-технічний; текстоутворюючий; прагматичний; стратегічний та морально-етичний), з яких у роботі досліджувалися лише три – предметний (засвоєння фонових знань у галузі прав людини), лексичний (оволодіння англійськими та українськими ЛО, що позначають згадані знання) та професійно-технічний.</w:t>
                  </w:r>
                </w:p>
                <w:p w14:paraId="0811E20E" w14:textId="77777777" w:rsidR="005A7CA9" w:rsidRPr="005A7CA9" w:rsidRDefault="005A7CA9" w:rsidP="005A7C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7CA9">
                    <w:rPr>
                      <w:rFonts w:ascii="Times New Roman" w:eastAsia="Times New Roman" w:hAnsi="Times New Roman" w:cs="Times New Roman"/>
                      <w:sz w:val="24"/>
                      <w:szCs w:val="24"/>
                    </w:rPr>
                    <w:t>За результатами аналізу видів перекладу, навчання яких передбачено у ВНЗ України, встановлена специфіка усного двостороннього перекладу – з аркуша та послідовного (абзацно-фразового рівня з виходом на рівень текстів, обсягом 700-1000 друкованих знаків наприкінці кожного заняття).</w:t>
                  </w:r>
                </w:p>
                <w:p w14:paraId="3119EA02" w14:textId="77777777" w:rsidR="005A7CA9" w:rsidRPr="005A7CA9" w:rsidRDefault="005A7CA9" w:rsidP="005A7C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7CA9">
                    <w:rPr>
                      <w:rFonts w:ascii="Times New Roman" w:eastAsia="Times New Roman" w:hAnsi="Times New Roman" w:cs="Times New Roman"/>
                      <w:sz w:val="24"/>
                      <w:szCs w:val="24"/>
                    </w:rPr>
                    <w:t>З огляду на те, що питання реалізації прав людини є ключовими для суспільно-політичної сфери загалом, відповідна галузь має увійти до змісту навчання усного перекладу у згаданій сфері, яка є обов’язковим компонентом змісту навчання перекладу як спеціальності у ВНЗ України.</w:t>
                  </w:r>
                </w:p>
                <w:p w14:paraId="4A332E09" w14:textId="77777777" w:rsidR="005A7CA9" w:rsidRPr="005A7CA9" w:rsidRDefault="005A7CA9" w:rsidP="005A7C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7CA9">
                    <w:rPr>
                      <w:rFonts w:ascii="Times New Roman" w:eastAsia="Times New Roman" w:hAnsi="Times New Roman" w:cs="Times New Roman"/>
                      <w:sz w:val="24"/>
                      <w:szCs w:val="24"/>
                    </w:rPr>
                    <w:t>За результатами аналізу більш ніж 100 міжнародних документів у галузі прав людини обґрунтовано вибір трьох документів („Загальна декларація прав людини”, „Міжнародний пакт про громадянські і політичні права”, „Міжнародний пакт про економічні, соціальні і культурні права”), як матеріалу для навчання усного перекладу у галузі прав людини, оскільки згадані угоди є найбільш загальними.</w:t>
                  </w:r>
                </w:p>
                <w:p w14:paraId="2879EAE9" w14:textId="77777777" w:rsidR="005A7CA9" w:rsidRPr="005A7CA9" w:rsidRDefault="005A7CA9" w:rsidP="005A7C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7CA9">
                    <w:rPr>
                      <w:rFonts w:ascii="Times New Roman" w:eastAsia="Times New Roman" w:hAnsi="Times New Roman" w:cs="Times New Roman"/>
                      <w:sz w:val="24"/>
                      <w:szCs w:val="24"/>
                    </w:rPr>
                    <w:lastRenderedPageBreak/>
                    <w:t>За результатами кількісного і якісного аналізу згаданих документів визначено їхні лінгвістичні особливості, встановлено понятійний, категоріальний і лексичний склад, конкретизовано склад лексичного мінімуму.</w:t>
                  </w:r>
                </w:p>
                <w:p w14:paraId="6835A5BD" w14:textId="77777777" w:rsidR="005A7CA9" w:rsidRPr="005A7CA9" w:rsidRDefault="005A7CA9" w:rsidP="005A7C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7CA9">
                    <w:rPr>
                      <w:rFonts w:ascii="Times New Roman" w:eastAsia="Times New Roman" w:hAnsi="Times New Roman" w:cs="Times New Roman"/>
                      <w:sz w:val="24"/>
                      <w:szCs w:val="24"/>
                    </w:rPr>
                    <w:t>Джерела лексичних труднощів під час перекладу текстів у галузі прав людини включають: відсутність у лексиконі студентів ЛО, що позначають елементи понятійного складу галузі прав людини, міжмовну та внутрішньомовну інтерференцію, низьку частотність та структурну складність ЛО.</w:t>
                  </w:r>
                </w:p>
                <w:p w14:paraId="6D242D3B" w14:textId="77777777" w:rsidR="005A7CA9" w:rsidRPr="005A7CA9" w:rsidRDefault="005A7CA9" w:rsidP="005A7C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7CA9">
                    <w:rPr>
                      <w:rFonts w:ascii="Times New Roman" w:eastAsia="Times New Roman" w:hAnsi="Times New Roman" w:cs="Times New Roman"/>
                      <w:sz w:val="24"/>
                      <w:szCs w:val="24"/>
                    </w:rPr>
                    <w:t>Аналіз психологічної структури перекладацької діяльності, вивчення та узагальнення підходів до проблеми вправ для навчання перекладу дозволили запропонувати три типи вправ: підготовчі (для створення передумов перекладу, тобто такі, де відсутній власне переклад), операційні (для розвитку перекладацьких навичок) та цілісні (для формування перекладацьких умінь).</w:t>
                  </w:r>
                </w:p>
                <w:p w14:paraId="1FE82E04" w14:textId="77777777" w:rsidR="005A7CA9" w:rsidRPr="005A7CA9" w:rsidRDefault="005A7CA9" w:rsidP="005A7C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7CA9">
                    <w:rPr>
                      <w:rFonts w:ascii="Times New Roman" w:eastAsia="Times New Roman" w:hAnsi="Times New Roman" w:cs="Times New Roman"/>
                      <w:sz w:val="24"/>
                      <w:szCs w:val="24"/>
                    </w:rPr>
                    <w:t>Перелік підготовчих та видові ознаки операційних і цілісних вправ для навчання усного перекладу створюють можливість регулювання складності вправ шляхом комбінування різних видових ознак.</w:t>
                  </w:r>
                </w:p>
                <w:p w14:paraId="293A136A" w14:textId="77777777" w:rsidR="005A7CA9" w:rsidRPr="005A7CA9" w:rsidRDefault="005A7CA9" w:rsidP="005A7C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7CA9">
                    <w:rPr>
                      <w:rFonts w:ascii="Times New Roman" w:eastAsia="Times New Roman" w:hAnsi="Times New Roman" w:cs="Times New Roman"/>
                      <w:sz w:val="24"/>
                      <w:szCs w:val="24"/>
                    </w:rPr>
                    <w:t>Обґрунтовано та розроблено комплекс вправ, де співвідношення підготовчих, операційних та цілісних характеризується поступовим збільшенням питомої ваги останніх, які, в заключних циклах, повністю витісняють підготовчі та операційні.</w:t>
                  </w:r>
                </w:p>
                <w:p w14:paraId="340799AF" w14:textId="77777777" w:rsidR="005A7CA9" w:rsidRPr="005A7CA9" w:rsidRDefault="005A7CA9" w:rsidP="005A7C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7CA9">
                    <w:rPr>
                      <w:rFonts w:ascii="Times New Roman" w:eastAsia="Times New Roman" w:hAnsi="Times New Roman" w:cs="Times New Roman"/>
                      <w:sz w:val="24"/>
                      <w:szCs w:val="24"/>
                    </w:rPr>
                    <w:t>Модель навчання майбутніх філологів усного англомовного двостороннього перекладу у галузі прав людини реалізується в межах чотирьох навчальних та одного контрольного модуля, які є складовими змістового модуля „Практика усного перекладу в суспільно-політичній сфері” на четвертому курсі.</w:t>
                  </w:r>
                </w:p>
                <w:p w14:paraId="229F8FB0" w14:textId="77777777" w:rsidR="005A7CA9" w:rsidRPr="005A7CA9" w:rsidRDefault="005A7CA9" w:rsidP="005A7C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7CA9">
                    <w:rPr>
                      <w:rFonts w:ascii="Times New Roman" w:eastAsia="Times New Roman" w:hAnsi="Times New Roman" w:cs="Times New Roman"/>
                      <w:sz w:val="24"/>
                      <w:szCs w:val="24"/>
                    </w:rPr>
                    <w:t>Аналіз існуючих теоретичних підходів та практики навчання перекладу дозволили запропонувати типологію перекладацьких помилок та критерії оцінки, які можуть застосовуватися під час контролю якості усного перекладу студентів. Згадана типологія ґрунтується на опозиції „інформаційні” помилки (пов’язані з пропуском інформації або зміною змісту тексту оригіналу) та „інші” (мовні, невмотивовані паузи, повтори, самовиправлення тощо).</w:t>
                  </w:r>
                </w:p>
                <w:p w14:paraId="5E5826DB" w14:textId="77777777" w:rsidR="005A7CA9" w:rsidRPr="005A7CA9" w:rsidRDefault="005A7CA9" w:rsidP="005A7C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7CA9">
                    <w:rPr>
                      <w:rFonts w:ascii="Times New Roman" w:eastAsia="Times New Roman" w:hAnsi="Times New Roman" w:cs="Times New Roman"/>
                      <w:sz w:val="24"/>
                      <w:szCs w:val="24"/>
                    </w:rPr>
                    <w:t>Проведено експериментальну перевірку ефективності методики навчання майбутніх філологів усного англомовного двостороннього перекладу у галузі прав людини. У двох серіях експерименту підтверджено загальну ефективність розробленої методики.</w:t>
                  </w:r>
                </w:p>
                <w:p w14:paraId="76D78A2E" w14:textId="77777777" w:rsidR="005A7CA9" w:rsidRPr="005A7CA9" w:rsidRDefault="005A7CA9" w:rsidP="005A7C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7CA9">
                    <w:rPr>
                      <w:rFonts w:ascii="Times New Roman" w:eastAsia="Times New Roman" w:hAnsi="Times New Roman" w:cs="Times New Roman"/>
                      <w:sz w:val="24"/>
                      <w:szCs w:val="24"/>
                    </w:rPr>
                    <w:t>Теоретичні та експериментальні результати дослідження були покладені в основу методичних рекомендацій щодо використання розробленого комплексу вправ для навчання усного двостороннього перекладу та відповідного посібника.</w:t>
                  </w:r>
                </w:p>
                <w:p w14:paraId="45DCF2C2" w14:textId="77777777" w:rsidR="005A7CA9" w:rsidRPr="005A7CA9" w:rsidRDefault="005A7CA9" w:rsidP="005A7C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7CA9">
                    <w:rPr>
                      <w:rFonts w:ascii="Times New Roman" w:eastAsia="Times New Roman" w:hAnsi="Times New Roman" w:cs="Times New Roman"/>
                      <w:sz w:val="24"/>
                      <w:szCs w:val="24"/>
                    </w:rPr>
                    <w:t>Розроблена методика може використовуватися викладачами та укладачами посібників для навчання усного перекладу, в тому числі й для перекладу з інших мов та в інших сферах (наприклад, економічній, технічній тощо).</w:t>
                  </w:r>
                </w:p>
                <w:p w14:paraId="4859D39E" w14:textId="77777777" w:rsidR="005A7CA9" w:rsidRPr="005A7CA9" w:rsidRDefault="005A7CA9" w:rsidP="005A7C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7CA9">
                    <w:rPr>
                      <w:rFonts w:ascii="Times New Roman" w:eastAsia="Times New Roman" w:hAnsi="Times New Roman" w:cs="Times New Roman"/>
                      <w:sz w:val="24"/>
                      <w:szCs w:val="24"/>
                    </w:rPr>
                    <w:lastRenderedPageBreak/>
                    <w:t>Проведене дослідження не претендує на остаточне розв’язання проблеми навчання усного двостороннього перекладу у суспільно-політичній сфері. Одержані результати доводять необхідність подальшого теоретичного та емпіричного дослідження, напрями якого можуть, зокрема, стосуватися вивчення проблеми співвідношення різних типів і видів вправ та чинників, які впливають на зміну такого співвідношення.</w:t>
                  </w:r>
                </w:p>
              </w:tc>
            </w:tr>
          </w:tbl>
          <w:p w14:paraId="711FBB68" w14:textId="77777777" w:rsidR="005A7CA9" w:rsidRPr="005A7CA9" w:rsidRDefault="005A7CA9" w:rsidP="005A7CA9">
            <w:pPr>
              <w:spacing w:after="0" w:line="240" w:lineRule="auto"/>
              <w:rPr>
                <w:rFonts w:ascii="Times New Roman" w:eastAsia="Times New Roman" w:hAnsi="Times New Roman" w:cs="Times New Roman"/>
                <w:sz w:val="24"/>
                <w:szCs w:val="24"/>
              </w:rPr>
            </w:pPr>
          </w:p>
        </w:tc>
      </w:tr>
    </w:tbl>
    <w:p w14:paraId="35898BE2" w14:textId="77777777" w:rsidR="005A7CA9" w:rsidRPr="005A7CA9" w:rsidRDefault="005A7CA9" w:rsidP="005A7CA9"/>
    <w:sectPr w:rsidR="005A7CA9" w:rsidRPr="005A7CA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18D6" w14:textId="77777777" w:rsidR="00F773D6" w:rsidRDefault="00F773D6">
      <w:pPr>
        <w:spacing w:after="0" w:line="240" w:lineRule="auto"/>
      </w:pPr>
      <w:r>
        <w:separator/>
      </w:r>
    </w:p>
  </w:endnote>
  <w:endnote w:type="continuationSeparator" w:id="0">
    <w:p w14:paraId="35070399" w14:textId="77777777" w:rsidR="00F773D6" w:rsidRDefault="00F77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66B9" w14:textId="77777777" w:rsidR="00F773D6" w:rsidRDefault="00F773D6">
      <w:pPr>
        <w:spacing w:after="0" w:line="240" w:lineRule="auto"/>
      </w:pPr>
      <w:r>
        <w:separator/>
      </w:r>
    </w:p>
  </w:footnote>
  <w:footnote w:type="continuationSeparator" w:id="0">
    <w:p w14:paraId="5D71B461" w14:textId="77777777" w:rsidR="00F773D6" w:rsidRDefault="00F77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773D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6CC0"/>
    <w:multiLevelType w:val="multilevel"/>
    <w:tmpl w:val="9F588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D2660E"/>
    <w:multiLevelType w:val="multilevel"/>
    <w:tmpl w:val="F57E9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01456A"/>
    <w:multiLevelType w:val="multilevel"/>
    <w:tmpl w:val="612AE8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AF1993"/>
    <w:multiLevelType w:val="multilevel"/>
    <w:tmpl w:val="9CBC8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F061C0"/>
    <w:multiLevelType w:val="multilevel"/>
    <w:tmpl w:val="8A707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396C45"/>
    <w:multiLevelType w:val="multilevel"/>
    <w:tmpl w:val="DED4F7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E5733F"/>
    <w:multiLevelType w:val="multilevel"/>
    <w:tmpl w:val="F44EEF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E7609C"/>
    <w:multiLevelType w:val="multilevel"/>
    <w:tmpl w:val="3C1C4B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9D6AAE"/>
    <w:multiLevelType w:val="multilevel"/>
    <w:tmpl w:val="E85A8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8F3157"/>
    <w:multiLevelType w:val="multilevel"/>
    <w:tmpl w:val="3794B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D24CF5"/>
    <w:multiLevelType w:val="multilevel"/>
    <w:tmpl w:val="4E6634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C62377"/>
    <w:multiLevelType w:val="multilevel"/>
    <w:tmpl w:val="9156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9A1710"/>
    <w:multiLevelType w:val="multilevel"/>
    <w:tmpl w:val="F886BC7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3B0FF5"/>
    <w:multiLevelType w:val="multilevel"/>
    <w:tmpl w:val="96F60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5535BC"/>
    <w:multiLevelType w:val="multilevel"/>
    <w:tmpl w:val="697A0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DA14F3"/>
    <w:multiLevelType w:val="multilevel"/>
    <w:tmpl w:val="D5BC3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8E1884"/>
    <w:multiLevelType w:val="multilevel"/>
    <w:tmpl w:val="6D0C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CA0BD9"/>
    <w:multiLevelType w:val="multilevel"/>
    <w:tmpl w:val="902EC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C96AD0"/>
    <w:multiLevelType w:val="multilevel"/>
    <w:tmpl w:val="043E0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0"/>
  </w:num>
  <w:num w:numId="3">
    <w:abstractNumId w:val="6"/>
  </w:num>
  <w:num w:numId="4">
    <w:abstractNumId w:val="0"/>
  </w:num>
  <w:num w:numId="5">
    <w:abstractNumId w:val="11"/>
  </w:num>
  <w:num w:numId="6">
    <w:abstractNumId w:val="4"/>
  </w:num>
  <w:num w:numId="7">
    <w:abstractNumId w:val="7"/>
  </w:num>
  <w:num w:numId="8">
    <w:abstractNumId w:val="12"/>
  </w:num>
  <w:num w:numId="9">
    <w:abstractNumId w:val="3"/>
  </w:num>
  <w:num w:numId="10">
    <w:abstractNumId w:val="5"/>
  </w:num>
  <w:num w:numId="11">
    <w:abstractNumId w:val="8"/>
  </w:num>
  <w:num w:numId="12">
    <w:abstractNumId w:val="9"/>
  </w:num>
  <w:num w:numId="13">
    <w:abstractNumId w:val="13"/>
  </w:num>
  <w:num w:numId="14">
    <w:abstractNumId w:val="17"/>
  </w:num>
  <w:num w:numId="15">
    <w:abstractNumId w:val="1"/>
  </w:num>
  <w:num w:numId="16">
    <w:abstractNumId w:val="15"/>
  </w:num>
  <w:num w:numId="17">
    <w:abstractNumId w:val="14"/>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B79"/>
    <w:rsid w:val="00001D47"/>
    <w:rsid w:val="00002AE4"/>
    <w:rsid w:val="00003187"/>
    <w:rsid w:val="00003321"/>
    <w:rsid w:val="00003577"/>
    <w:rsid w:val="00003700"/>
    <w:rsid w:val="00003844"/>
    <w:rsid w:val="00003E56"/>
    <w:rsid w:val="00003ECC"/>
    <w:rsid w:val="00004070"/>
    <w:rsid w:val="0000511A"/>
    <w:rsid w:val="00006591"/>
    <w:rsid w:val="0000688A"/>
    <w:rsid w:val="000110B6"/>
    <w:rsid w:val="000118F1"/>
    <w:rsid w:val="00011A9E"/>
    <w:rsid w:val="00011F02"/>
    <w:rsid w:val="00012226"/>
    <w:rsid w:val="0001231B"/>
    <w:rsid w:val="00014F5B"/>
    <w:rsid w:val="00015CF3"/>
    <w:rsid w:val="00016477"/>
    <w:rsid w:val="0001673C"/>
    <w:rsid w:val="000202CE"/>
    <w:rsid w:val="00020BD5"/>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53D"/>
    <w:rsid w:val="00031368"/>
    <w:rsid w:val="0003152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2F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2D03"/>
    <w:rsid w:val="000E4A1A"/>
    <w:rsid w:val="000E4A1F"/>
    <w:rsid w:val="000E4F44"/>
    <w:rsid w:val="000E5309"/>
    <w:rsid w:val="000E54E3"/>
    <w:rsid w:val="000E65CE"/>
    <w:rsid w:val="000E6F44"/>
    <w:rsid w:val="000E70AD"/>
    <w:rsid w:val="000F05AE"/>
    <w:rsid w:val="000F0DAA"/>
    <w:rsid w:val="000F0E35"/>
    <w:rsid w:val="000F201E"/>
    <w:rsid w:val="000F2431"/>
    <w:rsid w:val="000F24A5"/>
    <w:rsid w:val="000F2664"/>
    <w:rsid w:val="000F367F"/>
    <w:rsid w:val="000F3745"/>
    <w:rsid w:val="000F39CB"/>
    <w:rsid w:val="000F40CE"/>
    <w:rsid w:val="000F474C"/>
    <w:rsid w:val="000F4A09"/>
    <w:rsid w:val="000F568D"/>
    <w:rsid w:val="000F706F"/>
    <w:rsid w:val="000F71B0"/>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5169"/>
    <w:rsid w:val="00155347"/>
    <w:rsid w:val="0015539F"/>
    <w:rsid w:val="001554AB"/>
    <w:rsid w:val="00155882"/>
    <w:rsid w:val="00155983"/>
    <w:rsid w:val="00155A85"/>
    <w:rsid w:val="001564F0"/>
    <w:rsid w:val="0015651C"/>
    <w:rsid w:val="00160D31"/>
    <w:rsid w:val="001623EE"/>
    <w:rsid w:val="00162895"/>
    <w:rsid w:val="00162952"/>
    <w:rsid w:val="00164102"/>
    <w:rsid w:val="001648FC"/>
    <w:rsid w:val="00165538"/>
    <w:rsid w:val="00167941"/>
    <w:rsid w:val="0017066C"/>
    <w:rsid w:val="00170AAB"/>
    <w:rsid w:val="00170C7A"/>
    <w:rsid w:val="00170DE4"/>
    <w:rsid w:val="00170E71"/>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C08"/>
    <w:rsid w:val="001B0C88"/>
    <w:rsid w:val="001B0F7B"/>
    <w:rsid w:val="001B157E"/>
    <w:rsid w:val="001B3127"/>
    <w:rsid w:val="001B3B8C"/>
    <w:rsid w:val="001B43D1"/>
    <w:rsid w:val="001B5448"/>
    <w:rsid w:val="001B557F"/>
    <w:rsid w:val="001B5873"/>
    <w:rsid w:val="001B5CA2"/>
    <w:rsid w:val="001B5D4C"/>
    <w:rsid w:val="001C2386"/>
    <w:rsid w:val="001C29B5"/>
    <w:rsid w:val="001C2B6F"/>
    <w:rsid w:val="001C319F"/>
    <w:rsid w:val="001C48FC"/>
    <w:rsid w:val="001C5634"/>
    <w:rsid w:val="001C5BCF"/>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3AAC"/>
    <w:rsid w:val="0021479D"/>
    <w:rsid w:val="00215490"/>
    <w:rsid w:val="00216EF2"/>
    <w:rsid w:val="002174E8"/>
    <w:rsid w:val="002177F6"/>
    <w:rsid w:val="00217912"/>
    <w:rsid w:val="00217F8B"/>
    <w:rsid w:val="002200A7"/>
    <w:rsid w:val="00220A4C"/>
    <w:rsid w:val="002214C8"/>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34FA"/>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22C5"/>
    <w:rsid w:val="003226CD"/>
    <w:rsid w:val="00323848"/>
    <w:rsid w:val="00324D45"/>
    <w:rsid w:val="0032549E"/>
    <w:rsid w:val="0032641C"/>
    <w:rsid w:val="00326E6C"/>
    <w:rsid w:val="0032768B"/>
    <w:rsid w:val="00327814"/>
    <w:rsid w:val="00327E2C"/>
    <w:rsid w:val="00330467"/>
    <w:rsid w:val="0033088A"/>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316C"/>
    <w:rsid w:val="003435CA"/>
    <w:rsid w:val="0034397E"/>
    <w:rsid w:val="00343B30"/>
    <w:rsid w:val="00343C57"/>
    <w:rsid w:val="00344276"/>
    <w:rsid w:val="00344B55"/>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D6F"/>
    <w:rsid w:val="003A4E09"/>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8A"/>
    <w:rsid w:val="003D2E48"/>
    <w:rsid w:val="003D35D7"/>
    <w:rsid w:val="003D3D5E"/>
    <w:rsid w:val="003D488E"/>
    <w:rsid w:val="003D5563"/>
    <w:rsid w:val="003D6509"/>
    <w:rsid w:val="003D6FD7"/>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602DD"/>
    <w:rsid w:val="004603BA"/>
    <w:rsid w:val="004605B8"/>
    <w:rsid w:val="004606BD"/>
    <w:rsid w:val="00460D05"/>
    <w:rsid w:val="00461349"/>
    <w:rsid w:val="00462232"/>
    <w:rsid w:val="00462AA2"/>
    <w:rsid w:val="00463529"/>
    <w:rsid w:val="00463D18"/>
    <w:rsid w:val="0046442D"/>
    <w:rsid w:val="00464BEA"/>
    <w:rsid w:val="00465DC3"/>
    <w:rsid w:val="00466166"/>
    <w:rsid w:val="0047123F"/>
    <w:rsid w:val="004713CD"/>
    <w:rsid w:val="004726B0"/>
    <w:rsid w:val="00473097"/>
    <w:rsid w:val="0047383E"/>
    <w:rsid w:val="00473934"/>
    <w:rsid w:val="00473CF0"/>
    <w:rsid w:val="00474223"/>
    <w:rsid w:val="00474341"/>
    <w:rsid w:val="00474F7A"/>
    <w:rsid w:val="004750B5"/>
    <w:rsid w:val="00475136"/>
    <w:rsid w:val="00476FAB"/>
    <w:rsid w:val="00477B11"/>
    <w:rsid w:val="00477C59"/>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668"/>
    <w:rsid w:val="00487702"/>
    <w:rsid w:val="0048790C"/>
    <w:rsid w:val="004879B0"/>
    <w:rsid w:val="00487B42"/>
    <w:rsid w:val="0049016F"/>
    <w:rsid w:val="0049018B"/>
    <w:rsid w:val="00490492"/>
    <w:rsid w:val="004906D8"/>
    <w:rsid w:val="00490D73"/>
    <w:rsid w:val="00491E95"/>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AE"/>
    <w:rsid w:val="004D78BF"/>
    <w:rsid w:val="004E0FFA"/>
    <w:rsid w:val="004E13BD"/>
    <w:rsid w:val="004E183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A07"/>
    <w:rsid w:val="00545529"/>
    <w:rsid w:val="00546638"/>
    <w:rsid w:val="005466B7"/>
    <w:rsid w:val="0054700A"/>
    <w:rsid w:val="005472C9"/>
    <w:rsid w:val="005472FF"/>
    <w:rsid w:val="005475B2"/>
    <w:rsid w:val="005500B7"/>
    <w:rsid w:val="00550771"/>
    <w:rsid w:val="00551C6C"/>
    <w:rsid w:val="00552448"/>
    <w:rsid w:val="00552D58"/>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D9C"/>
    <w:rsid w:val="005657A2"/>
    <w:rsid w:val="00565A58"/>
    <w:rsid w:val="00566072"/>
    <w:rsid w:val="0056647E"/>
    <w:rsid w:val="00566564"/>
    <w:rsid w:val="00566985"/>
    <w:rsid w:val="00566C86"/>
    <w:rsid w:val="00570B1B"/>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6DE"/>
    <w:rsid w:val="005C1F2D"/>
    <w:rsid w:val="005C2445"/>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B5"/>
    <w:rsid w:val="006552BE"/>
    <w:rsid w:val="0065612F"/>
    <w:rsid w:val="00656497"/>
    <w:rsid w:val="00656684"/>
    <w:rsid w:val="00656C91"/>
    <w:rsid w:val="00657620"/>
    <w:rsid w:val="00657862"/>
    <w:rsid w:val="00657D0C"/>
    <w:rsid w:val="00657D8C"/>
    <w:rsid w:val="00660463"/>
    <w:rsid w:val="0066107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4A27"/>
    <w:rsid w:val="007163D1"/>
    <w:rsid w:val="007168B0"/>
    <w:rsid w:val="00716C54"/>
    <w:rsid w:val="007172C2"/>
    <w:rsid w:val="007174B5"/>
    <w:rsid w:val="00717626"/>
    <w:rsid w:val="0071774B"/>
    <w:rsid w:val="00720C16"/>
    <w:rsid w:val="00721771"/>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77F0"/>
    <w:rsid w:val="007878E6"/>
    <w:rsid w:val="00790D74"/>
    <w:rsid w:val="00790FFB"/>
    <w:rsid w:val="00791445"/>
    <w:rsid w:val="00791E61"/>
    <w:rsid w:val="00792D3B"/>
    <w:rsid w:val="00793279"/>
    <w:rsid w:val="00793CF0"/>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B22"/>
    <w:rsid w:val="007F3DE0"/>
    <w:rsid w:val="007F419C"/>
    <w:rsid w:val="007F4544"/>
    <w:rsid w:val="007F545F"/>
    <w:rsid w:val="007F54E4"/>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976"/>
    <w:rsid w:val="00804F47"/>
    <w:rsid w:val="00804F88"/>
    <w:rsid w:val="0080559D"/>
    <w:rsid w:val="00806A47"/>
    <w:rsid w:val="008073E1"/>
    <w:rsid w:val="00807C07"/>
    <w:rsid w:val="008110DE"/>
    <w:rsid w:val="0081180F"/>
    <w:rsid w:val="00812006"/>
    <w:rsid w:val="00812193"/>
    <w:rsid w:val="00814159"/>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5033C"/>
    <w:rsid w:val="00850F93"/>
    <w:rsid w:val="008513D3"/>
    <w:rsid w:val="00851AA1"/>
    <w:rsid w:val="00851D56"/>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44F6"/>
    <w:rsid w:val="00865C43"/>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CB8"/>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67E"/>
    <w:rsid w:val="009551EC"/>
    <w:rsid w:val="009552C0"/>
    <w:rsid w:val="00955526"/>
    <w:rsid w:val="0095611A"/>
    <w:rsid w:val="009572D2"/>
    <w:rsid w:val="00957C88"/>
    <w:rsid w:val="009611BE"/>
    <w:rsid w:val="00961C0B"/>
    <w:rsid w:val="00961C79"/>
    <w:rsid w:val="00961D99"/>
    <w:rsid w:val="00962179"/>
    <w:rsid w:val="0096269D"/>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97"/>
    <w:rsid w:val="009C288B"/>
    <w:rsid w:val="009C3586"/>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62F7"/>
    <w:rsid w:val="009E774D"/>
    <w:rsid w:val="009E7955"/>
    <w:rsid w:val="009E7E75"/>
    <w:rsid w:val="009F15FB"/>
    <w:rsid w:val="009F1975"/>
    <w:rsid w:val="009F2B44"/>
    <w:rsid w:val="009F2B70"/>
    <w:rsid w:val="009F2BC0"/>
    <w:rsid w:val="009F38B1"/>
    <w:rsid w:val="009F40E5"/>
    <w:rsid w:val="009F4B39"/>
    <w:rsid w:val="009F50BD"/>
    <w:rsid w:val="009F51ED"/>
    <w:rsid w:val="009F5B67"/>
    <w:rsid w:val="009F649E"/>
    <w:rsid w:val="009F72E1"/>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8A1"/>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03"/>
    <w:rsid w:val="00AD5AA2"/>
    <w:rsid w:val="00AD7187"/>
    <w:rsid w:val="00AD7308"/>
    <w:rsid w:val="00AD73D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8C5"/>
    <w:rsid w:val="00AF5EA8"/>
    <w:rsid w:val="00AF62EB"/>
    <w:rsid w:val="00AF64D9"/>
    <w:rsid w:val="00AF6BBA"/>
    <w:rsid w:val="00AF72D4"/>
    <w:rsid w:val="00AF74EB"/>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A21"/>
    <w:rsid w:val="00BA2FBB"/>
    <w:rsid w:val="00BA30E5"/>
    <w:rsid w:val="00BA477C"/>
    <w:rsid w:val="00BA4866"/>
    <w:rsid w:val="00BA49D6"/>
    <w:rsid w:val="00BA4D5F"/>
    <w:rsid w:val="00BA50D5"/>
    <w:rsid w:val="00BA5A40"/>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27E74"/>
    <w:rsid w:val="00C3009B"/>
    <w:rsid w:val="00C301CA"/>
    <w:rsid w:val="00C30379"/>
    <w:rsid w:val="00C307D2"/>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BF"/>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B2"/>
    <w:rsid w:val="00CE4E0B"/>
    <w:rsid w:val="00CE50EE"/>
    <w:rsid w:val="00CE57CF"/>
    <w:rsid w:val="00CE59EC"/>
    <w:rsid w:val="00CE64EC"/>
    <w:rsid w:val="00CE7318"/>
    <w:rsid w:val="00CE7E7B"/>
    <w:rsid w:val="00CF04B1"/>
    <w:rsid w:val="00CF0647"/>
    <w:rsid w:val="00CF0844"/>
    <w:rsid w:val="00CF0A2A"/>
    <w:rsid w:val="00CF101C"/>
    <w:rsid w:val="00CF1577"/>
    <w:rsid w:val="00CF25E1"/>
    <w:rsid w:val="00CF2A29"/>
    <w:rsid w:val="00CF3305"/>
    <w:rsid w:val="00CF42DA"/>
    <w:rsid w:val="00CF4E25"/>
    <w:rsid w:val="00CF5B72"/>
    <w:rsid w:val="00CF5E65"/>
    <w:rsid w:val="00CF6BB8"/>
    <w:rsid w:val="00D0095B"/>
    <w:rsid w:val="00D00EC3"/>
    <w:rsid w:val="00D0113A"/>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3CF1"/>
    <w:rsid w:val="00D6416A"/>
    <w:rsid w:val="00D652B0"/>
    <w:rsid w:val="00D65369"/>
    <w:rsid w:val="00D6575B"/>
    <w:rsid w:val="00D66791"/>
    <w:rsid w:val="00D668DA"/>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496"/>
    <w:rsid w:val="00E207D5"/>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531D"/>
    <w:rsid w:val="00E45555"/>
    <w:rsid w:val="00E457E2"/>
    <w:rsid w:val="00E45DDF"/>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B3D"/>
    <w:rsid w:val="00E62C1A"/>
    <w:rsid w:val="00E63758"/>
    <w:rsid w:val="00E64204"/>
    <w:rsid w:val="00E655F1"/>
    <w:rsid w:val="00E65784"/>
    <w:rsid w:val="00E6588B"/>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6A"/>
    <w:rsid w:val="00F030A7"/>
    <w:rsid w:val="00F0317D"/>
    <w:rsid w:val="00F032DE"/>
    <w:rsid w:val="00F04445"/>
    <w:rsid w:val="00F04807"/>
    <w:rsid w:val="00F04C71"/>
    <w:rsid w:val="00F04ED8"/>
    <w:rsid w:val="00F05D83"/>
    <w:rsid w:val="00F0671F"/>
    <w:rsid w:val="00F0798D"/>
    <w:rsid w:val="00F10D38"/>
    <w:rsid w:val="00F1118D"/>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914"/>
    <w:rsid w:val="00F75A3E"/>
    <w:rsid w:val="00F76918"/>
    <w:rsid w:val="00F773D2"/>
    <w:rsid w:val="00F773D6"/>
    <w:rsid w:val="00F8008C"/>
    <w:rsid w:val="00F8084C"/>
    <w:rsid w:val="00F80E58"/>
    <w:rsid w:val="00F81725"/>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C"/>
    <w:rsid w:val="00FB2527"/>
    <w:rsid w:val="00FB266C"/>
    <w:rsid w:val="00FB2FAB"/>
    <w:rsid w:val="00FB30A8"/>
    <w:rsid w:val="00FB3873"/>
    <w:rsid w:val="00FB38DE"/>
    <w:rsid w:val="00FB39E9"/>
    <w:rsid w:val="00FB54DB"/>
    <w:rsid w:val="00FB5824"/>
    <w:rsid w:val="00FB64EF"/>
    <w:rsid w:val="00FB685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22316</TotalTime>
  <Pages>4</Pages>
  <Words>909</Words>
  <Characters>5187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4268</cp:revision>
  <dcterms:created xsi:type="dcterms:W3CDTF">2024-06-20T08:51:00Z</dcterms:created>
  <dcterms:modified xsi:type="dcterms:W3CDTF">2024-07-13T13:54:00Z</dcterms:modified>
  <cp:category/>
</cp:coreProperties>
</file>