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276535" w:rsidRDefault="00276535" w:rsidP="00276535">
      <w:r w:rsidRPr="00D16016">
        <w:rPr>
          <w:rFonts w:ascii="Times New Roman" w:eastAsia="Calibri" w:hAnsi="Times New Roman" w:cs="Times New Roman"/>
          <w:b/>
          <w:kern w:val="24"/>
          <w:sz w:val="24"/>
          <w:szCs w:val="28"/>
          <w:lang w:eastAsia="ru-RU"/>
        </w:rPr>
        <w:t>Бицюра Леонід Олексійович</w:t>
      </w:r>
      <w:r w:rsidRPr="00D16016">
        <w:rPr>
          <w:rFonts w:ascii="Times New Roman" w:eastAsia="Calibri" w:hAnsi="Times New Roman" w:cs="Times New Roman"/>
          <w:kern w:val="24"/>
          <w:sz w:val="24"/>
          <w:szCs w:val="28"/>
          <w:lang w:eastAsia="ru-RU"/>
        </w:rPr>
        <w:t>, молодший науковий співробітник Західноукраїнського національного університету. Назва дисертації: «Формування стратегії енергоефективності на підприємстві». Шифр та назва спеціальності – 08.00.04 – економіка та управління підприємствами (за видами економічної діяльності). Спецрада</w:t>
      </w:r>
      <w:r w:rsidRPr="00D16016">
        <w:rPr>
          <w:rFonts w:ascii="Times New Roman" w:eastAsia="Calibri" w:hAnsi="Times New Roman" w:cs="Times New Roman"/>
          <w:b/>
          <w:i/>
          <w:kern w:val="24"/>
          <w:sz w:val="24"/>
          <w:szCs w:val="28"/>
          <w:lang w:eastAsia="ru-RU"/>
        </w:rPr>
        <w:t xml:space="preserve"> </w:t>
      </w:r>
      <w:r w:rsidRPr="00D16016">
        <w:rPr>
          <w:rFonts w:ascii="Times New Roman" w:eastAsia="Calibri" w:hAnsi="Times New Roman" w:cs="Times New Roman"/>
          <w:kern w:val="24"/>
          <w:sz w:val="24"/>
          <w:szCs w:val="28"/>
          <w:lang w:eastAsia="ru-RU"/>
        </w:rPr>
        <w:t>Д 58.082.03 Західноукраїнського національного університету</w:t>
      </w:r>
    </w:p>
    <w:sectPr w:rsidR="00F95DD1" w:rsidRPr="002765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276535" w:rsidRPr="002765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F8E4C-6E11-4F3D-BB64-9D33C42A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2021-03-09T13:27:00Z</dcterms:created>
  <dcterms:modified xsi:type="dcterms:W3CDTF">2021-03-09T19:33:00Z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