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97579" w:rsidRDefault="00B160AE" w:rsidP="00B160AE">
      <w:r w:rsidRPr="00B160AE">
        <w:rPr>
          <w:rFonts w:ascii="Calibri" w:eastAsia="Times New Roman" w:hAnsi="Calibri" w:cs="Times New Roman"/>
          <w:b/>
          <w:kern w:val="24"/>
          <w:sz w:val="24"/>
          <w:szCs w:val="28"/>
          <w:lang w:val="uk-UA" w:eastAsia="en-US"/>
        </w:rPr>
        <w:t xml:space="preserve">Кладченко Ірина Сергіївна, </w:t>
      </w:r>
      <w:r w:rsidRPr="00B160AE">
        <w:rPr>
          <w:rFonts w:ascii="Calibri" w:eastAsia="Times New Roman" w:hAnsi="Calibri" w:cs="Times New Roman"/>
          <w:kern w:val="24"/>
          <w:sz w:val="24"/>
          <w:szCs w:val="28"/>
          <w:lang w:val="uk-UA" w:eastAsia="en-US"/>
        </w:rPr>
        <w:t>асистент кафедри економіки підприємства Державного вищого навчального закладу «Донецький національний технічний університет» (м. Покровськ). Назва дисертації: «Аналітичне оцінювання збалансованості розвитку національної економіки». Шифр та назва спеціальності – 08.00.03 – економіка та управління національним господарством. Спецрада К</w:t>
      </w:r>
      <w:r w:rsidRPr="00B160AE">
        <w:rPr>
          <w:rFonts w:ascii="Calibri" w:eastAsia="Calibri" w:hAnsi="Calibri" w:cs="Times New Roman"/>
          <w:kern w:val="24"/>
          <w:sz w:val="24"/>
          <w:lang w:val="en-US" w:eastAsia="en-US"/>
        </w:rPr>
        <w:t> </w:t>
      </w:r>
      <w:r w:rsidRPr="00B160AE">
        <w:rPr>
          <w:rFonts w:ascii="Calibri" w:eastAsia="Times New Roman" w:hAnsi="Calibri" w:cs="Times New Roman"/>
          <w:kern w:val="24"/>
          <w:sz w:val="24"/>
          <w:szCs w:val="28"/>
          <w:lang w:val="uk-UA" w:eastAsia="en-US"/>
        </w:rPr>
        <w:t>11.052.09 Державного вищого навчального закладу «Донецький національний технічний університет»</w:t>
      </w:r>
    </w:p>
    <w:sectPr w:rsidR="0064656E"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B160AE" w:rsidRPr="00B160A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09844-6087-4CB1-B002-C598A65C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2021-04-12T15:35:00Z</dcterms:created>
  <dcterms:modified xsi:type="dcterms:W3CDTF">2021-04-14T12:51:00Z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