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72F4"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Фролова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Надежда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Дмитриевна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Управление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качеством</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кредитного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портфеля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российских</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коммерческих</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банков</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на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примере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потребительского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кредитования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автореферат</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дис</w:t>
      </w:r>
      <w:r w:rsidRPr="00B847C6">
        <w:rPr>
          <w:rFonts w:ascii="Times New Roman" w:eastAsia="Times New Roman" w:hAnsi="Times New Roman" w:cs="Times New Roman"/>
          <w:b/>
          <w:bCs/>
          <w:color w:val="000000"/>
          <w:kern w:val="0"/>
          <w:sz w:val="30"/>
          <w:szCs w:val="30"/>
          <w:shd w:val="clear" w:color="auto" w:fill="FFFFFF"/>
          <w:lang w:eastAsia="ru-RU"/>
        </w:rPr>
        <w:t xml:space="preserve">. ... </w:t>
      </w:r>
      <w:r w:rsidRPr="00B847C6">
        <w:rPr>
          <w:rFonts w:ascii="Times New Roman" w:eastAsia="Times New Roman" w:hAnsi="Times New Roman" w:cs="Times New Roman" w:hint="eastAsia"/>
          <w:b/>
          <w:bCs/>
          <w:color w:val="000000"/>
          <w:kern w:val="0"/>
          <w:sz w:val="30"/>
          <w:szCs w:val="30"/>
          <w:shd w:val="clear" w:color="auto" w:fill="FFFFFF"/>
          <w:lang w:eastAsia="ru-RU"/>
        </w:rPr>
        <w:t>кандидата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Экономических</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наук</w:t>
      </w:r>
      <w:r w:rsidRPr="00B847C6">
        <w:rPr>
          <w:rFonts w:ascii="Times New Roman" w:eastAsia="Times New Roman" w:hAnsi="Times New Roman" w:cs="Times New Roman"/>
          <w:b/>
          <w:bCs/>
          <w:color w:val="000000"/>
          <w:kern w:val="0"/>
          <w:sz w:val="30"/>
          <w:szCs w:val="30"/>
          <w:shd w:val="clear" w:color="auto" w:fill="FFFFFF"/>
          <w:lang w:eastAsia="ru-RU"/>
        </w:rPr>
        <w:t xml:space="preserve">: 08.00.10 / </w:t>
      </w:r>
      <w:r w:rsidRPr="00B847C6">
        <w:rPr>
          <w:rFonts w:ascii="Times New Roman" w:eastAsia="Times New Roman" w:hAnsi="Times New Roman" w:cs="Times New Roman" w:hint="eastAsia"/>
          <w:b/>
          <w:bCs/>
          <w:color w:val="000000"/>
          <w:kern w:val="0"/>
          <w:sz w:val="30"/>
          <w:szCs w:val="30"/>
          <w:shd w:val="clear" w:color="auto" w:fill="FFFFFF"/>
          <w:lang w:eastAsia="ru-RU"/>
        </w:rPr>
        <w:t>Фролова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Надежда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Дмитриевна</w:t>
      </w:r>
      <w:r w:rsidRPr="00B847C6">
        <w:rPr>
          <w:rFonts w:ascii="Times New Roman" w:eastAsia="Times New Roman" w:hAnsi="Times New Roman" w:cs="Times New Roman"/>
          <w:b/>
          <w:bCs/>
          <w:color w:val="000000"/>
          <w:kern w:val="0"/>
          <w:sz w:val="30"/>
          <w:szCs w:val="30"/>
          <w:shd w:val="clear" w:color="auto" w:fill="FFFFFF"/>
          <w:lang w:eastAsia="ru-RU"/>
        </w:rPr>
        <w:t>;[</w:t>
      </w:r>
      <w:r w:rsidRPr="00B847C6">
        <w:rPr>
          <w:rFonts w:ascii="Times New Roman" w:eastAsia="Times New Roman" w:hAnsi="Times New Roman" w:cs="Times New Roman" w:hint="eastAsia"/>
          <w:b/>
          <w:bCs/>
          <w:color w:val="000000"/>
          <w:kern w:val="0"/>
          <w:sz w:val="30"/>
          <w:szCs w:val="30"/>
          <w:shd w:val="clear" w:color="auto" w:fill="FFFFFF"/>
          <w:lang w:eastAsia="ru-RU"/>
        </w:rPr>
        <w:t>Место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защиты</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ФГБУН</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Институт</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экономики</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Российской</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академии</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наук</w:t>
      </w:r>
      <w:r w:rsidRPr="00B847C6">
        <w:rPr>
          <w:rFonts w:ascii="Times New Roman" w:eastAsia="Times New Roman" w:hAnsi="Times New Roman" w:cs="Times New Roman"/>
          <w:b/>
          <w:bCs/>
          <w:color w:val="000000"/>
          <w:kern w:val="0"/>
          <w:sz w:val="30"/>
          <w:szCs w:val="30"/>
          <w:shd w:val="clear" w:color="auto" w:fill="FFFFFF"/>
          <w:lang w:eastAsia="ru-RU"/>
        </w:rPr>
        <w:t>], 2020</w:t>
      </w:r>
    </w:p>
    <w:p w14:paraId="3712DC33"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p>
    <w:p w14:paraId="6996572F"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p>
    <w:p w14:paraId="479B8AED"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Федеральное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государственное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бюджетное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учреждение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науки</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Институт</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экономики</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Российской</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академии</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наук</w:t>
      </w:r>
    </w:p>
    <w:p w14:paraId="352D92AB"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На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правах</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рукописи</w:t>
      </w:r>
    </w:p>
    <w:p w14:paraId="30608B87"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Фролова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Надежда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Дмитриевна</w:t>
      </w:r>
    </w:p>
    <w:p w14:paraId="02D598FB"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УПРАВЛЕНИЕ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КАЧЕСТВОМ</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КРЕДИТНОГО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ПОРТФЕЛЯ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РОССИЙСКИХ</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КОММЕРЧЕСКИХ</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БАНКОВ</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НА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ПРИМЕРЕ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ПОТРЕБИТЕЛЬСКОГО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КРЕДИТОВАНИЯ</w:t>
      </w:r>
    </w:p>
    <w:p w14:paraId="575A8DFA"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Специальность</w:t>
      </w:r>
      <w:r w:rsidRPr="00B847C6">
        <w:rPr>
          <w:rFonts w:ascii="Times New Roman" w:eastAsia="Times New Roman" w:hAnsi="Times New Roman" w:cs="Times New Roman"/>
          <w:b/>
          <w:bCs/>
          <w:color w:val="000000"/>
          <w:kern w:val="0"/>
          <w:sz w:val="30"/>
          <w:szCs w:val="30"/>
          <w:shd w:val="clear" w:color="auto" w:fill="FFFFFF"/>
          <w:lang w:eastAsia="ru-RU"/>
        </w:rPr>
        <w:t xml:space="preserve"> 08.00.10 - </w:t>
      </w:r>
      <w:r w:rsidRPr="00B847C6">
        <w:rPr>
          <w:rFonts w:ascii="Times New Roman" w:eastAsia="Times New Roman" w:hAnsi="Times New Roman" w:cs="Times New Roman" w:hint="eastAsia"/>
          <w:b/>
          <w:bCs/>
          <w:color w:val="000000"/>
          <w:kern w:val="0"/>
          <w:sz w:val="30"/>
          <w:szCs w:val="30"/>
          <w:shd w:val="clear" w:color="auto" w:fill="FFFFFF"/>
          <w:lang w:eastAsia="ru-RU"/>
        </w:rPr>
        <w:t>Финансы</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денежное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обращение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и</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кредит</w:t>
      </w:r>
    </w:p>
    <w:p w14:paraId="4805A3E3"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Диссертация</w:t>
      </w:r>
    </w:p>
    <w:p w14:paraId="1B6D13CF"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на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соискание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ученой</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степени</w:t>
      </w:r>
    </w:p>
    <w:p w14:paraId="429DA598"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кандидата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экономических</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наук</w:t>
      </w:r>
    </w:p>
    <w:p w14:paraId="34E6974E"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Научный</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руководитель</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доктор</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экономических</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наук</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профессор</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Черных</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Сергей</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Иннокентьевич</w:t>
      </w:r>
    </w:p>
    <w:p w14:paraId="0D475212"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Москва</w:t>
      </w:r>
      <w:r w:rsidRPr="00B847C6">
        <w:rPr>
          <w:rFonts w:ascii="Times New Roman" w:eastAsia="Times New Roman" w:hAnsi="Times New Roman" w:cs="Times New Roman"/>
          <w:b/>
          <w:bCs/>
          <w:color w:val="000000"/>
          <w:kern w:val="0"/>
          <w:sz w:val="30"/>
          <w:szCs w:val="30"/>
          <w:shd w:val="clear" w:color="auto" w:fill="FFFFFF"/>
          <w:lang w:eastAsia="ru-RU"/>
        </w:rPr>
        <w:t xml:space="preserve"> - 2020 </w:t>
      </w:r>
    </w:p>
    <w:p w14:paraId="04244200"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ОГЛАВЛЕНИЕ</w:t>
      </w:r>
    </w:p>
    <w:p w14:paraId="7E04BC15"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ВВЕДЕНИЕ</w:t>
      </w:r>
      <w:r w:rsidRPr="00B847C6">
        <w:rPr>
          <w:rFonts w:ascii="Times New Roman" w:eastAsia="Times New Roman" w:hAnsi="Times New Roman" w:cs="Times New Roman"/>
          <w:b/>
          <w:bCs/>
          <w:color w:val="000000"/>
          <w:kern w:val="0"/>
          <w:sz w:val="30"/>
          <w:szCs w:val="30"/>
          <w:shd w:val="clear" w:color="auto" w:fill="FFFFFF"/>
          <w:lang w:eastAsia="ru-RU"/>
        </w:rPr>
        <w:tab/>
        <w:t>4</w:t>
      </w:r>
    </w:p>
    <w:p w14:paraId="16B079C7"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Глава</w:t>
      </w:r>
      <w:r w:rsidRPr="00B847C6">
        <w:rPr>
          <w:rFonts w:ascii="Times New Roman" w:eastAsia="Times New Roman" w:hAnsi="Times New Roman" w:cs="Times New Roman"/>
          <w:b/>
          <w:bCs/>
          <w:color w:val="000000"/>
          <w:kern w:val="0"/>
          <w:sz w:val="30"/>
          <w:szCs w:val="30"/>
          <w:shd w:val="clear" w:color="auto" w:fill="FFFFFF"/>
          <w:lang w:eastAsia="ru-RU"/>
        </w:rPr>
        <w:t xml:space="preserve"> 1. </w:t>
      </w:r>
      <w:r w:rsidRPr="00B847C6">
        <w:rPr>
          <w:rFonts w:ascii="Times New Roman" w:eastAsia="Times New Roman" w:hAnsi="Times New Roman" w:cs="Times New Roman" w:hint="eastAsia"/>
          <w:b/>
          <w:bCs/>
          <w:color w:val="000000"/>
          <w:kern w:val="0"/>
          <w:sz w:val="30"/>
          <w:szCs w:val="30"/>
          <w:shd w:val="clear" w:color="auto" w:fill="FFFFFF"/>
          <w:lang w:eastAsia="ru-RU"/>
        </w:rPr>
        <w:t>Теоретические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основы</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системы</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управления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качеством</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кредитного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портфеля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коммерческого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банка</w:t>
      </w:r>
      <w:r w:rsidRPr="00B847C6">
        <w:rPr>
          <w:rFonts w:ascii="Times New Roman" w:eastAsia="Times New Roman" w:hAnsi="Times New Roman" w:cs="Times New Roman"/>
          <w:b/>
          <w:bCs/>
          <w:color w:val="000000"/>
          <w:kern w:val="0"/>
          <w:sz w:val="30"/>
          <w:szCs w:val="30"/>
          <w:shd w:val="clear" w:color="auto" w:fill="FFFFFF"/>
          <w:lang w:eastAsia="ru-RU"/>
        </w:rPr>
        <w:tab/>
        <w:t>13</w:t>
      </w:r>
    </w:p>
    <w:p w14:paraId="0B3C7C6C"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b/>
          <w:bCs/>
          <w:color w:val="000000"/>
          <w:kern w:val="0"/>
          <w:sz w:val="30"/>
          <w:szCs w:val="30"/>
          <w:shd w:val="clear" w:color="auto" w:fill="FFFFFF"/>
          <w:lang w:eastAsia="ru-RU"/>
        </w:rPr>
        <w:t>1.1.</w:t>
      </w:r>
      <w:r w:rsidRPr="00B847C6">
        <w:rPr>
          <w:rFonts w:ascii="Times New Roman" w:eastAsia="Times New Roman" w:hAnsi="Times New Roman" w:cs="Times New Roman"/>
          <w:b/>
          <w:bCs/>
          <w:color w:val="000000"/>
          <w:kern w:val="0"/>
          <w:sz w:val="30"/>
          <w:szCs w:val="30"/>
          <w:shd w:val="clear" w:color="auto" w:fill="FFFFFF"/>
          <w:lang w:eastAsia="ru-RU"/>
        </w:rPr>
        <w:tab/>
      </w:r>
      <w:r w:rsidRPr="00B847C6">
        <w:rPr>
          <w:rFonts w:ascii="Times New Roman" w:eastAsia="Times New Roman" w:hAnsi="Times New Roman" w:cs="Times New Roman" w:hint="eastAsia"/>
          <w:b/>
          <w:bCs/>
          <w:color w:val="000000"/>
          <w:kern w:val="0"/>
          <w:sz w:val="30"/>
          <w:szCs w:val="30"/>
          <w:shd w:val="clear" w:color="auto" w:fill="FFFFFF"/>
          <w:lang w:eastAsia="ru-RU"/>
        </w:rPr>
        <w:t>Понятие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качества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кредитного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портфеля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сущность</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особенности</w:t>
      </w:r>
      <w:r w:rsidRPr="00B847C6">
        <w:rPr>
          <w:rFonts w:ascii="Times New Roman" w:eastAsia="Times New Roman" w:hAnsi="Times New Roman" w:cs="Times New Roman"/>
          <w:b/>
          <w:bCs/>
          <w:color w:val="000000"/>
          <w:kern w:val="0"/>
          <w:sz w:val="30"/>
          <w:szCs w:val="30"/>
          <w:shd w:val="clear" w:color="auto" w:fill="FFFFFF"/>
          <w:lang w:eastAsia="ru-RU"/>
        </w:rPr>
        <w:t>,</w:t>
      </w:r>
    </w:p>
    <w:p w14:paraId="2A7DE665"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классификация</w:t>
      </w:r>
      <w:r w:rsidRPr="00B847C6">
        <w:rPr>
          <w:rFonts w:ascii="Times New Roman" w:eastAsia="Times New Roman" w:hAnsi="Times New Roman" w:cs="Times New Roman"/>
          <w:b/>
          <w:bCs/>
          <w:color w:val="000000"/>
          <w:kern w:val="0"/>
          <w:sz w:val="30"/>
          <w:szCs w:val="30"/>
          <w:shd w:val="clear" w:color="auto" w:fill="FFFFFF"/>
          <w:lang w:eastAsia="ru-RU"/>
        </w:rPr>
        <w:tab/>
        <w:t>13</w:t>
      </w:r>
    </w:p>
    <w:p w14:paraId="3AFC7C25"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b/>
          <w:bCs/>
          <w:color w:val="000000"/>
          <w:kern w:val="0"/>
          <w:sz w:val="30"/>
          <w:szCs w:val="30"/>
          <w:shd w:val="clear" w:color="auto" w:fill="FFFFFF"/>
          <w:lang w:eastAsia="ru-RU"/>
        </w:rPr>
        <w:t>1.2.</w:t>
      </w:r>
      <w:r w:rsidRPr="00B847C6">
        <w:rPr>
          <w:rFonts w:ascii="Times New Roman" w:eastAsia="Times New Roman" w:hAnsi="Times New Roman" w:cs="Times New Roman"/>
          <w:b/>
          <w:bCs/>
          <w:color w:val="000000"/>
          <w:kern w:val="0"/>
          <w:sz w:val="30"/>
          <w:szCs w:val="30"/>
          <w:shd w:val="clear" w:color="auto" w:fill="FFFFFF"/>
          <w:lang w:eastAsia="ru-RU"/>
        </w:rPr>
        <w:tab/>
      </w:r>
      <w:r w:rsidRPr="00B847C6">
        <w:rPr>
          <w:rFonts w:ascii="Times New Roman" w:eastAsia="Times New Roman" w:hAnsi="Times New Roman" w:cs="Times New Roman" w:hint="eastAsia"/>
          <w:b/>
          <w:bCs/>
          <w:color w:val="000000"/>
          <w:kern w:val="0"/>
          <w:sz w:val="30"/>
          <w:szCs w:val="30"/>
          <w:shd w:val="clear" w:color="auto" w:fill="FFFFFF"/>
          <w:lang w:eastAsia="ru-RU"/>
        </w:rPr>
        <w:t>Риски</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влияющие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на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качество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кредитного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портфеля</w:t>
      </w:r>
      <w:r w:rsidRPr="00B847C6">
        <w:rPr>
          <w:rFonts w:ascii="Times New Roman" w:eastAsia="Times New Roman" w:hAnsi="Times New Roman" w:cs="Times New Roman"/>
          <w:b/>
          <w:bCs/>
          <w:color w:val="000000"/>
          <w:kern w:val="0"/>
          <w:sz w:val="30"/>
          <w:szCs w:val="30"/>
          <w:shd w:val="clear" w:color="auto" w:fill="FFFFFF"/>
          <w:lang w:eastAsia="ru-RU"/>
        </w:rPr>
        <w:tab/>
        <w:t>21</w:t>
      </w:r>
    </w:p>
    <w:p w14:paraId="03336DEA"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b/>
          <w:bCs/>
          <w:color w:val="000000"/>
          <w:kern w:val="0"/>
          <w:sz w:val="30"/>
          <w:szCs w:val="30"/>
          <w:shd w:val="clear" w:color="auto" w:fill="FFFFFF"/>
          <w:lang w:eastAsia="ru-RU"/>
        </w:rPr>
        <w:t>1.3.</w:t>
      </w:r>
      <w:r w:rsidRPr="00B847C6">
        <w:rPr>
          <w:rFonts w:ascii="Times New Roman" w:eastAsia="Times New Roman" w:hAnsi="Times New Roman" w:cs="Times New Roman"/>
          <w:b/>
          <w:bCs/>
          <w:color w:val="000000"/>
          <w:kern w:val="0"/>
          <w:sz w:val="30"/>
          <w:szCs w:val="30"/>
          <w:shd w:val="clear" w:color="auto" w:fill="FFFFFF"/>
          <w:lang w:eastAsia="ru-RU"/>
        </w:rPr>
        <w:tab/>
      </w:r>
      <w:r w:rsidRPr="00B847C6">
        <w:rPr>
          <w:rFonts w:ascii="Times New Roman" w:eastAsia="Times New Roman" w:hAnsi="Times New Roman" w:cs="Times New Roman" w:hint="eastAsia"/>
          <w:b/>
          <w:bCs/>
          <w:color w:val="000000"/>
          <w:kern w:val="0"/>
          <w:sz w:val="30"/>
          <w:szCs w:val="30"/>
          <w:shd w:val="clear" w:color="auto" w:fill="FFFFFF"/>
          <w:lang w:eastAsia="ru-RU"/>
        </w:rPr>
        <w:t>Нормативное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регулирование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управления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качеством</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lastRenderedPageBreak/>
        <w:t>кредитного</w:t>
      </w:r>
    </w:p>
    <w:p w14:paraId="670C4EA5"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портфеля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коммерческого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банка</w:t>
      </w:r>
      <w:r w:rsidRPr="00B847C6">
        <w:rPr>
          <w:rFonts w:ascii="Times New Roman" w:eastAsia="Times New Roman" w:hAnsi="Times New Roman" w:cs="Times New Roman"/>
          <w:b/>
          <w:bCs/>
          <w:color w:val="000000"/>
          <w:kern w:val="0"/>
          <w:sz w:val="30"/>
          <w:szCs w:val="30"/>
          <w:shd w:val="clear" w:color="auto" w:fill="FFFFFF"/>
          <w:lang w:eastAsia="ru-RU"/>
        </w:rPr>
        <w:tab/>
        <w:t>35</w:t>
      </w:r>
    </w:p>
    <w:p w14:paraId="5E320953"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Глава</w:t>
      </w:r>
      <w:r w:rsidRPr="00B847C6">
        <w:rPr>
          <w:rFonts w:ascii="Times New Roman" w:eastAsia="Times New Roman" w:hAnsi="Times New Roman" w:cs="Times New Roman"/>
          <w:b/>
          <w:bCs/>
          <w:color w:val="000000"/>
          <w:kern w:val="0"/>
          <w:sz w:val="30"/>
          <w:szCs w:val="30"/>
          <w:shd w:val="clear" w:color="auto" w:fill="FFFFFF"/>
          <w:lang w:eastAsia="ru-RU"/>
        </w:rPr>
        <w:t xml:space="preserve"> 2. </w:t>
      </w:r>
      <w:r w:rsidRPr="00B847C6">
        <w:rPr>
          <w:rFonts w:ascii="Times New Roman" w:eastAsia="Times New Roman" w:hAnsi="Times New Roman" w:cs="Times New Roman" w:hint="eastAsia"/>
          <w:b/>
          <w:bCs/>
          <w:color w:val="000000"/>
          <w:kern w:val="0"/>
          <w:sz w:val="30"/>
          <w:szCs w:val="30"/>
          <w:shd w:val="clear" w:color="auto" w:fill="FFFFFF"/>
          <w:lang w:eastAsia="ru-RU"/>
        </w:rPr>
        <w:t>Современная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отечественная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практика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управления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качеством</w:t>
      </w:r>
    </w:p>
    <w:p w14:paraId="409CAFE3"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кредитного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портфеля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коммерческого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банка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при</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потребительском</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кредитовании</w:t>
      </w:r>
      <w:r w:rsidRPr="00B847C6">
        <w:rPr>
          <w:rFonts w:ascii="Times New Roman" w:eastAsia="Times New Roman" w:hAnsi="Times New Roman" w:cs="Times New Roman"/>
          <w:b/>
          <w:bCs/>
          <w:color w:val="000000"/>
          <w:kern w:val="0"/>
          <w:sz w:val="30"/>
          <w:szCs w:val="30"/>
          <w:shd w:val="clear" w:color="auto" w:fill="FFFFFF"/>
          <w:lang w:eastAsia="ru-RU"/>
        </w:rPr>
        <w:t xml:space="preserve"> 45</w:t>
      </w:r>
    </w:p>
    <w:p w14:paraId="56145F2C"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b/>
          <w:bCs/>
          <w:color w:val="000000"/>
          <w:kern w:val="0"/>
          <w:sz w:val="30"/>
          <w:szCs w:val="30"/>
          <w:shd w:val="clear" w:color="auto" w:fill="FFFFFF"/>
          <w:lang w:eastAsia="ru-RU"/>
        </w:rPr>
        <w:t>2.1.</w:t>
      </w:r>
      <w:r w:rsidRPr="00B847C6">
        <w:rPr>
          <w:rFonts w:ascii="Times New Roman" w:eastAsia="Times New Roman" w:hAnsi="Times New Roman" w:cs="Times New Roman"/>
          <w:b/>
          <w:bCs/>
          <w:color w:val="000000"/>
          <w:kern w:val="0"/>
          <w:sz w:val="30"/>
          <w:szCs w:val="30"/>
          <w:shd w:val="clear" w:color="auto" w:fill="FFFFFF"/>
          <w:lang w:eastAsia="ru-RU"/>
        </w:rPr>
        <w:tab/>
      </w:r>
      <w:r w:rsidRPr="00B847C6">
        <w:rPr>
          <w:rFonts w:ascii="Times New Roman" w:eastAsia="Times New Roman" w:hAnsi="Times New Roman" w:cs="Times New Roman" w:hint="eastAsia"/>
          <w:b/>
          <w:bCs/>
          <w:color w:val="000000"/>
          <w:kern w:val="0"/>
          <w:sz w:val="30"/>
          <w:szCs w:val="30"/>
          <w:shd w:val="clear" w:color="auto" w:fill="FFFFFF"/>
          <w:lang w:eastAsia="ru-RU"/>
        </w:rPr>
        <w:t>Организация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процесса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кредитования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физических</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лиц</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в</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российских</w:t>
      </w:r>
    </w:p>
    <w:p w14:paraId="6693EE4D"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коммерческих</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банках</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b/>
          <w:bCs/>
          <w:color w:val="000000"/>
          <w:kern w:val="0"/>
          <w:sz w:val="30"/>
          <w:szCs w:val="30"/>
          <w:shd w:val="clear" w:color="auto" w:fill="FFFFFF"/>
          <w:lang w:eastAsia="ru-RU"/>
        </w:rPr>
        <w:tab/>
        <w:t>45</w:t>
      </w:r>
    </w:p>
    <w:p w14:paraId="5429FF93"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b/>
          <w:bCs/>
          <w:color w:val="000000"/>
          <w:kern w:val="0"/>
          <w:sz w:val="30"/>
          <w:szCs w:val="30"/>
          <w:shd w:val="clear" w:color="auto" w:fill="FFFFFF"/>
          <w:lang w:eastAsia="ru-RU"/>
        </w:rPr>
        <w:t>2.2.</w:t>
      </w:r>
      <w:r w:rsidRPr="00B847C6">
        <w:rPr>
          <w:rFonts w:ascii="Times New Roman" w:eastAsia="Times New Roman" w:hAnsi="Times New Roman" w:cs="Times New Roman"/>
          <w:b/>
          <w:bCs/>
          <w:color w:val="000000"/>
          <w:kern w:val="0"/>
          <w:sz w:val="30"/>
          <w:szCs w:val="30"/>
          <w:shd w:val="clear" w:color="auto" w:fill="FFFFFF"/>
          <w:lang w:eastAsia="ru-RU"/>
        </w:rPr>
        <w:tab/>
      </w:r>
      <w:r w:rsidRPr="00B847C6">
        <w:rPr>
          <w:rFonts w:ascii="Times New Roman" w:eastAsia="Times New Roman" w:hAnsi="Times New Roman" w:cs="Times New Roman" w:hint="eastAsia"/>
          <w:b/>
          <w:bCs/>
          <w:color w:val="000000"/>
          <w:kern w:val="0"/>
          <w:sz w:val="30"/>
          <w:szCs w:val="30"/>
          <w:shd w:val="clear" w:color="auto" w:fill="FFFFFF"/>
          <w:lang w:eastAsia="ru-RU"/>
        </w:rPr>
        <w:t>Система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управления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качеством</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кредитного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портфеля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кредитам</w:t>
      </w:r>
    </w:p>
    <w:p w14:paraId="6A3E910D"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физическим</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лицам</w:t>
      </w:r>
      <w:r w:rsidRPr="00B847C6">
        <w:rPr>
          <w:rFonts w:ascii="Times New Roman" w:eastAsia="Times New Roman" w:hAnsi="Times New Roman" w:cs="Times New Roman"/>
          <w:b/>
          <w:bCs/>
          <w:color w:val="000000"/>
          <w:kern w:val="0"/>
          <w:sz w:val="30"/>
          <w:szCs w:val="30"/>
          <w:shd w:val="clear" w:color="auto" w:fill="FFFFFF"/>
          <w:lang w:eastAsia="ru-RU"/>
        </w:rPr>
        <w:tab/>
        <w:t>61</w:t>
      </w:r>
    </w:p>
    <w:p w14:paraId="7D4F9A14"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Глава</w:t>
      </w:r>
      <w:r w:rsidRPr="00B847C6">
        <w:rPr>
          <w:rFonts w:ascii="Times New Roman" w:eastAsia="Times New Roman" w:hAnsi="Times New Roman" w:cs="Times New Roman"/>
          <w:b/>
          <w:bCs/>
          <w:color w:val="000000"/>
          <w:kern w:val="0"/>
          <w:sz w:val="30"/>
          <w:szCs w:val="30"/>
          <w:shd w:val="clear" w:color="auto" w:fill="FFFFFF"/>
          <w:lang w:eastAsia="ru-RU"/>
        </w:rPr>
        <w:t xml:space="preserve"> 3. </w:t>
      </w:r>
      <w:r w:rsidRPr="00B847C6">
        <w:rPr>
          <w:rFonts w:ascii="Times New Roman" w:eastAsia="Times New Roman" w:hAnsi="Times New Roman" w:cs="Times New Roman" w:hint="eastAsia"/>
          <w:b/>
          <w:bCs/>
          <w:color w:val="000000"/>
          <w:kern w:val="0"/>
          <w:sz w:val="30"/>
          <w:szCs w:val="30"/>
          <w:shd w:val="clear" w:color="auto" w:fill="FFFFFF"/>
          <w:lang w:eastAsia="ru-RU"/>
        </w:rPr>
        <w:t>Направления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совершенствования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системы</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управления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качеством</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кредитного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портфеля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коммерческого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банка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в</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сегменте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потребительского</w:t>
      </w:r>
    </w:p>
    <w:p w14:paraId="71D6E2DB"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кредитования</w:t>
      </w:r>
      <w:r w:rsidRPr="00B847C6">
        <w:rPr>
          <w:rFonts w:ascii="Times New Roman" w:eastAsia="Times New Roman" w:hAnsi="Times New Roman" w:cs="Times New Roman"/>
          <w:b/>
          <w:bCs/>
          <w:color w:val="000000"/>
          <w:kern w:val="0"/>
          <w:sz w:val="30"/>
          <w:szCs w:val="30"/>
          <w:shd w:val="clear" w:color="auto" w:fill="FFFFFF"/>
          <w:lang w:eastAsia="ru-RU"/>
        </w:rPr>
        <w:tab/>
        <w:t>72</w:t>
      </w:r>
    </w:p>
    <w:p w14:paraId="5BC9D37C"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b/>
          <w:bCs/>
          <w:color w:val="000000"/>
          <w:kern w:val="0"/>
          <w:sz w:val="30"/>
          <w:szCs w:val="30"/>
          <w:shd w:val="clear" w:color="auto" w:fill="FFFFFF"/>
          <w:lang w:eastAsia="ru-RU"/>
        </w:rPr>
        <w:t>3.1.</w:t>
      </w:r>
      <w:r w:rsidRPr="00B847C6">
        <w:rPr>
          <w:rFonts w:ascii="Times New Roman" w:eastAsia="Times New Roman" w:hAnsi="Times New Roman" w:cs="Times New Roman"/>
          <w:b/>
          <w:bCs/>
          <w:color w:val="000000"/>
          <w:kern w:val="0"/>
          <w:sz w:val="30"/>
          <w:szCs w:val="30"/>
          <w:shd w:val="clear" w:color="auto" w:fill="FFFFFF"/>
          <w:lang w:eastAsia="ru-RU"/>
        </w:rPr>
        <w:tab/>
      </w:r>
      <w:r w:rsidRPr="00B847C6">
        <w:rPr>
          <w:rFonts w:ascii="Times New Roman" w:eastAsia="Times New Roman" w:hAnsi="Times New Roman" w:cs="Times New Roman" w:hint="eastAsia"/>
          <w:b/>
          <w:bCs/>
          <w:color w:val="000000"/>
          <w:kern w:val="0"/>
          <w:sz w:val="30"/>
          <w:szCs w:val="30"/>
          <w:shd w:val="clear" w:color="auto" w:fill="FFFFFF"/>
          <w:lang w:eastAsia="ru-RU"/>
        </w:rPr>
        <w:t>Совершенствование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контроля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над</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реализацией</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кредитной</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политики</w:t>
      </w:r>
    </w:p>
    <w:p w14:paraId="68C3137C"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коммерческих</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банков</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в</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сегменте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потребительского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кредитования</w:t>
      </w:r>
      <w:r w:rsidRPr="00B847C6">
        <w:rPr>
          <w:rFonts w:ascii="Times New Roman" w:eastAsia="Times New Roman" w:hAnsi="Times New Roman" w:cs="Times New Roman"/>
          <w:b/>
          <w:bCs/>
          <w:color w:val="000000"/>
          <w:kern w:val="0"/>
          <w:sz w:val="30"/>
          <w:szCs w:val="30"/>
          <w:shd w:val="clear" w:color="auto" w:fill="FFFFFF"/>
          <w:lang w:eastAsia="ru-RU"/>
        </w:rPr>
        <w:tab/>
        <w:t>72</w:t>
      </w:r>
    </w:p>
    <w:p w14:paraId="1ECF7B47"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b/>
          <w:bCs/>
          <w:color w:val="000000"/>
          <w:kern w:val="0"/>
          <w:sz w:val="30"/>
          <w:szCs w:val="30"/>
          <w:shd w:val="clear" w:color="auto" w:fill="FFFFFF"/>
          <w:lang w:eastAsia="ru-RU"/>
        </w:rPr>
        <w:t>3.2.</w:t>
      </w:r>
      <w:r w:rsidRPr="00B847C6">
        <w:rPr>
          <w:rFonts w:ascii="Times New Roman" w:eastAsia="Times New Roman" w:hAnsi="Times New Roman" w:cs="Times New Roman"/>
          <w:b/>
          <w:bCs/>
          <w:color w:val="000000"/>
          <w:kern w:val="0"/>
          <w:sz w:val="30"/>
          <w:szCs w:val="30"/>
          <w:shd w:val="clear" w:color="auto" w:fill="FFFFFF"/>
          <w:lang w:eastAsia="ru-RU"/>
        </w:rPr>
        <w:tab/>
      </w:r>
      <w:r w:rsidRPr="00B847C6">
        <w:rPr>
          <w:rFonts w:ascii="Times New Roman" w:eastAsia="Times New Roman" w:hAnsi="Times New Roman" w:cs="Times New Roman" w:hint="eastAsia"/>
          <w:b/>
          <w:bCs/>
          <w:color w:val="000000"/>
          <w:kern w:val="0"/>
          <w:sz w:val="30"/>
          <w:szCs w:val="30"/>
          <w:shd w:val="clear" w:color="auto" w:fill="FFFFFF"/>
          <w:lang w:eastAsia="ru-RU"/>
        </w:rPr>
        <w:t>Введение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обязательной</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оценки</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квалификации</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персонала</w:t>
      </w:r>
    </w:p>
    <w:p w14:paraId="18B9169B"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коммерческих</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банков</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занятого</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в</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процессе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кредитования</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клиентов</w:t>
      </w:r>
      <w:r w:rsidRPr="00B847C6">
        <w:rPr>
          <w:rFonts w:ascii="Times New Roman" w:eastAsia="Times New Roman" w:hAnsi="Times New Roman" w:cs="Times New Roman"/>
          <w:b/>
          <w:bCs/>
          <w:color w:val="000000"/>
          <w:kern w:val="0"/>
          <w:sz w:val="30"/>
          <w:szCs w:val="30"/>
          <w:shd w:val="clear" w:color="auto" w:fill="FFFFFF"/>
          <w:lang w:eastAsia="ru-RU"/>
        </w:rPr>
        <w:t xml:space="preserve"> - </w:t>
      </w:r>
      <w:r w:rsidRPr="00B847C6">
        <w:rPr>
          <w:rFonts w:ascii="Times New Roman" w:eastAsia="Times New Roman" w:hAnsi="Times New Roman" w:cs="Times New Roman" w:hint="eastAsia"/>
          <w:b/>
          <w:bCs/>
          <w:color w:val="000000"/>
          <w:kern w:val="0"/>
          <w:sz w:val="30"/>
          <w:szCs w:val="30"/>
          <w:shd w:val="clear" w:color="auto" w:fill="FFFFFF"/>
          <w:lang w:eastAsia="ru-RU"/>
        </w:rPr>
        <w:t>физических</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лиц</w:t>
      </w:r>
      <w:r w:rsidRPr="00B847C6">
        <w:rPr>
          <w:rFonts w:ascii="Times New Roman" w:eastAsia="Times New Roman" w:hAnsi="Times New Roman" w:cs="Times New Roman"/>
          <w:b/>
          <w:bCs/>
          <w:color w:val="000000"/>
          <w:kern w:val="0"/>
          <w:sz w:val="30"/>
          <w:szCs w:val="30"/>
          <w:shd w:val="clear" w:color="auto" w:fill="FFFFFF"/>
          <w:lang w:eastAsia="ru-RU"/>
        </w:rPr>
        <w:tab/>
        <w:t>84</w:t>
      </w:r>
    </w:p>
    <w:p w14:paraId="0FA4FA8C"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b/>
          <w:bCs/>
          <w:color w:val="000000"/>
          <w:kern w:val="0"/>
          <w:sz w:val="30"/>
          <w:szCs w:val="30"/>
          <w:shd w:val="clear" w:color="auto" w:fill="FFFFFF"/>
          <w:lang w:eastAsia="ru-RU"/>
        </w:rPr>
        <w:t>3.3.</w:t>
      </w:r>
      <w:r w:rsidRPr="00B847C6">
        <w:rPr>
          <w:rFonts w:ascii="Times New Roman" w:eastAsia="Times New Roman" w:hAnsi="Times New Roman" w:cs="Times New Roman"/>
          <w:b/>
          <w:bCs/>
          <w:color w:val="000000"/>
          <w:kern w:val="0"/>
          <w:sz w:val="30"/>
          <w:szCs w:val="30"/>
          <w:shd w:val="clear" w:color="auto" w:fill="FFFFFF"/>
          <w:lang w:eastAsia="ru-RU"/>
        </w:rPr>
        <w:tab/>
      </w:r>
      <w:r w:rsidRPr="00B847C6">
        <w:rPr>
          <w:rFonts w:ascii="Times New Roman" w:eastAsia="Times New Roman" w:hAnsi="Times New Roman" w:cs="Times New Roman" w:hint="eastAsia"/>
          <w:b/>
          <w:bCs/>
          <w:color w:val="000000"/>
          <w:kern w:val="0"/>
          <w:sz w:val="30"/>
          <w:szCs w:val="30"/>
          <w:shd w:val="clear" w:color="auto" w:fill="FFFFFF"/>
          <w:lang w:eastAsia="ru-RU"/>
        </w:rPr>
        <w:t>Разработка</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подходов</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к</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оценке</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заемщиков</w:t>
      </w:r>
      <w:r w:rsidRPr="00B847C6">
        <w:rPr>
          <w:rFonts w:ascii="Times New Roman" w:eastAsia="Times New Roman" w:hAnsi="Times New Roman" w:cs="Times New Roman"/>
          <w:b/>
          <w:bCs/>
          <w:color w:val="000000"/>
          <w:kern w:val="0"/>
          <w:sz w:val="30"/>
          <w:szCs w:val="30"/>
          <w:shd w:val="clear" w:color="auto" w:fill="FFFFFF"/>
          <w:lang w:eastAsia="ru-RU"/>
        </w:rPr>
        <w:t>-</w:t>
      </w:r>
      <w:r w:rsidRPr="00B847C6">
        <w:rPr>
          <w:rFonts w:ascii="Times New Roman" w:eastAsia="Times New Roman" w:hAnsi="Times New Roman" w:cs="Times New Roman" w:hint="eastAsia"/>
          <w:b/>
          <w:bCs/>
          <w:color w:val="000000"/>
          <w:kern w:val="0"/>
          <w:sz w:val="30"/>
          <w:szCs w:val="30"/>
          <w:shd w:val="clear" w:color="auto" w:fill="FFFFFF"/>
          <w:lang w:eastAsia="ru-RU"/>
        </w:rPr>
        <w:t>физических</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лиц</w:t>
      </w:r>
      <w:r w:rsidRPr="00B847C6">
        <w:rPr>
          <w:rFonts w:ascii="Times New Roman" w:eastAsia="Times New Roman" w:hAnsi="Times New Roman" w:cs="Times New Roman"/>
          <w:b/>
          <w:bCs/>
          <w:color w:val="000000"/>
          <w:kern w:val="0"/>
          <w:sz w:val="30"/>
          <w:szCs w:val="30"/>
          <w:shd w:val="clear" w:color="auto" w:fill="FFFFFF"/>
          <w:lang w:eastAsia="ru-RU"/>
        </w:rPr>
        <w:tab/>
        <w:t>101</w:t>
      </w:r>
    </w:p>
    <w:p w14:paraId="472C9637"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ЗАКЛЮЧЕНИЕ</w:t>
      </w:r>
      <w:r w:rsidRPr="00B847C6">
        <w:rPr>
          <w:rFonts w:ascii="Times New Roman" w:eastAsia="Times New Roman" w:hAnsi="Times New Roman" w:cs="Times New Roman"/>
          <w:b/>
          <w:bCs/>
          <w:color w:val="000000"/>
          <w:kern w:val="0"/>
          <w:sz w:val="30"/>
          <w:szCs w:val="30"/>
          <w:shd w:val="clear" w:color="auto" w:fill="FFFFFF"/>
          <w:lang w:eastAsia="ru-RU"/>
        </w:rPr>
        <w:tab/>
        <w:t>117</w:t>
      </w:r>
    </w:p>
    <w:p w14:paraId="148B8F27"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Список</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использованной</w:t>
      </w:r>
      <w:r w:rsidRPr="00B847C6">
        <w:rPr>
          <w:rFonts w:ascii="Times New Roman" w:eastAsia="Times New Roman" w:hAnsi="Times New Roman" w:cs="Times New Roman"/>
          <w:b/>
          <w:bCs/>
          <w:color w:val="000000"/>
          <w:kern w:val="0"/>
          <w:sz w:val="30"/>
          <w:szCs w:val="30"/>
          <w:shd w:val="clear" w:color="auto" w:fill="FFFFFF"/>
          <w:lang w:eastAsia="ru-RU"/>
        </w:rPr>
        <w:t xml:space="preserve"> </w:t>
      </w:r>
      <w:r w:rsidRPr="00B847C6">
        <w:rPr>
          <w:rFonts w:ascii="Times New Roman" w:eastAsia="Times New Roman" w:hAnsi="Times New Roman" w:cs="Times New Roman" w:hint="eastAsia"/>
          <w:b/>
          <w:bCs/>
          <w:color w:val="000000"/>
          <w:kern w:val="0"/>
          <w:sz w:val="30"/>
          <w:szCs w:val="30"/>
          <w:shd w:val="clear" w:color="auto" w:fill="FFFFFF"/>
          <w:lang w:eastAsia="ru-RU"/>
        </w:rPr>
        <w:t>литературы</w:t>
      </w:r>
      <w:r w:rsidRPr="00B847C6">
        <w:rPr>
          <w:rFonts w:ascii="Times New Roman" w:eastAsia="Times New Roman" w:hAnsi="Times New Roman" w:cs="Times New Roman"/>
          <w:b/>
          <w:bCs/>
          <w:color w:val="000000"/>
          <w:kern w:val="0"/>
          <w:sz w:val="30"/>
          <w:szCs w:val="30"/>
          <w:shd w:val="clear" w:color="auto" w:fill="FFFFFF"/>
          <w:lang w:eastAsia="ru-RU"/>
        </w:rPr>
        <w:t> </w:t>
      </w:r>
    </w:p>
    <w:p w14:paraId="48FF9678"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B847C6">
        <w:rPr>
          <w:rFonts w:ascii="Times New Roman" w:eastAsia="Times New Roman" w:hAnsi="Times New Roman" w:cs="Times New Roman"/>
          <w:b/>
          <w:bCs/>
          <w:color w:val="000000"/>
          <w:kern w:val="0"/>
          <w:sz w:val="30"/>
          <w:szCs w:val="30"/>
          <w:shd w:val="clear" w:color="auto" w:fill="FFFFFF"/>
          <w:lang w:eastAsia="ru-RU"/>
        </w:rPr>
        <w:t xml:space="preserve"> 1</w:t>
      </w:r>
      <w:r w:rsidRPr="00B847C6">
        <w:rPr>
          <w:rFonts w:ascii="Times New Roman" w:eastAsia="Times New Roman" w:hAnsi="Times New Roman" w:cs="Times New Roman"/>
          <w:b/>
          <w:bCs/>
          <w:color w:val="000000"/>
          <w:kern w:val="0"/>
          <w:sz w:val="30"/>
          <w:szCs w:val="30"/>
          <w:shd w:val="clear" w:color="auto" w:fill="FFFFFF"/>
          <w:lang w:eastAsia="ru-RU"/>
        </w:rPr>
        <w:tab/>
        <w:t>137</w:t>
      </w:r>
    </w:p>
    <w:p w14:paraId="103C687E"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B847C6">
        <w:rPr>
          <w:rFonts w:ascii="Times New Roman" w:eastAsia="Times New Roman" w:hAnsi="Times New Roman" w:cs="Times New Roman"/>
          <w:b/>
          <w:bCs/>
          <w:color w:val="000000"/>
          <w:kern w:val="0"/>
          <w:sz w:val="30"/>
          <w:szCs w:val="30"/>
          <w:shd w:val="clear" w:color="auto" w:fill="FFFFFF"/>
          <w:lang w:eastAsia="ru-RU"/>
        </w:rPr>
        <w:t xml:space="preserve"> 2</w:t>
      </w:r>
      <w:r w:rsidRPr="00B847C6">
        <w:rPr>
          <w:rFonts w:ascii="Times New Roman" w:eastAsia="Times New Roman" w:hAnsi="Times New Roman" w:cs="Times New Roman"/>
          <w:b/>
          <w:bCs/>
          <w:color w:val="000000"/>
          <w:kern w:val="0"/>
          <w:sz w:val="30"/>
          <w:szCs w:val="30"/>
          <w:shd w:val="clear" w:color="auto" w:fill="FFFFFF"/>
          <w:lang w:eastAsia="ru-RU"/>
        </w:rPr>
        <w:tab/>
        <w:t>138</w:t>
      </w:r>
    </w:p>
    <w:p w14:paraId="788156A7"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B847C6">
        <w:rPr>
          <w:rFonts w:ascii="Times New Roman" w:eastAsia="Times New Roman" w:hAnsi="Times New Roman" w:cs="Times New Roman"/>
          <w:b/>
          <w:bCs/>
          <w:color w:val="000000"/>
          <w:kern w:val="0"/>
          <w:sz w:val="30"/>
          <w:szCs w:val="30"/>
          <w:shd w:val="clear" w:color="auto" w:fill="FFFFFF"/>
          <w:lang w:eastAsia="ru-RU"/>
        </w:rPr>
        <w:t xml:space="preserve"> 3</w:t>
      </w:r>
      <w:r w:rsidRPr="00B847C6">
        <w:rPr>
          <w:rFonts w:ascii="Times New Roman" w:eastAsia="Times New Roman" w:hAnsi="Times New Roman" w:cs="Times New Roman"/>
          <w:b/>
          <w:bCs/>
          <w:color w:val="000000"/>
          <w:kern w:val="0"/>
          <w:sz w:val="30"/>
          <w:szCs w:val="30"/>
          <w:shd w:val="clear" w:color="auto" w:fill="FFFFFF"/>
          <w:lang w:eastAsia="ru-RU"/>
        </w:rPr>
        <w:tab/>
        <w:t>139</w:t>
      </w:r>
    </w:p>
    <w:p w14:paraId="14E63D4E"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lastRenderedPageBreak/>
        <w:t>ПРИЛОЖЕНИЕ</w:t>
      </w:r>
      <w:r w:rsidRPr="00B847C6">
        <w:rPr>
          <w:rFonts w:ascii="Times New Roman" w:eastAsia="Times New Roman" w:hAnsi="Times New Roman" w:cs="Times New Roman"/>
          <w:b/>
          <w:bCs/>
          <w:color w:val="000000"/>
          <w:kern w:val="0"/>
          <w:sz w:val="30"/>
          <w:szCs w:val="30"/>
          <w:shd w:val="clear" w:color="auto" w:fill="FFFFFF"/>
          <w:lang w:eastAsia="ru-RU"/>
        </w:rPr>
        <w:t xml:space="preserve"> 4</w:t>
      </w:r>
      <w:r w:rsidRPr="00B847C6">
        <w:rPr>
          <w:rFonts w:ascii="Times New Roman" w:eastAsia="Times New Roman" w:hAnsi="Times New Roman" w:cs="Times New Roman"/>
          <w:b/>
          <w:bCs/>
          <w:color w:val="000000"/>
          <w:kern w:val="0"/>
          <w:sz w:val="30"/>
          <w:szCs w:val="30"/>
          <w:shd w:val="clear" w:color="auto" w:fill="FFFFFF"/>
          <w:lang w:eastAsia="ru-RU"/>
        </w:rPr>
        <w:tab/>
        <w:t>141</w:t>
      </w:r>
    </w:p>
    <w:p w14:paraId="5FCA9DE5"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B847C6">
        <w:rPr>
          <w:rFonts w:ascii="Times New Roman" w:eastAsia="Times New Roman" w:hAnsi="Times New Roman" w:cs="Times New Roman"/>
          <w:b/>
          <w:bCs/>
          <w:color w:val="000000"/>
          <w:kern w:val="0"/>
          <w:sz w:val="30"/>
          <w:szCs w:val="30"/>
          <w:shd w:val="clear" w:color="auto" w:fill="FFFFFF"/>
          <w:lang w:eastAsia="ru-RU"/>
        </w:rPr>
        <w:t xml:space="preserve"> 5</w:t>
      </w:r>
      <w:r w:rsidRPr="00B847C6">
        <w:rPr>
          <w:rFonts w:ascii="Times New Roman" w:eastAsia="Times New Roman" w:hAnsi="Times New Roman" w:cs="Times New Roman"/>
          <w:b/>
          <w:bCs/>
          <w:color w:val="000000"/>
          <w:kern w:val="0"/>
          <w:sz w:val="30"/>
          <w:szCs w:val="30"/>
          <w:shd w:val="clear" w:color="auto" w:fill="FFFFFF"/>
          <w:lang w:eastAsia="ru-RU"/>
        </w:rPr>
        <w:tab/>
        <w:t>146</w:t>
      </w:r>
    </w:p>
    <w:p w14:paraId="7B183BBF"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B847C6">
        <w:rPr>
          <w:rFonts w:ascii="Times New Roman" w:eastAsia="Times New Roman" w:hAnsi="Times New Roman" w:cs="Times New Roman"/>
          <w:b/>
          <w:bCs/>
          <w:color w:val="000000"/>
          <w:kern w:val="0"/>
          <w:sz w:val="30"/>
          <w:szCs w:val="30"/>
          <w:shd w:val="clear" w:color="auto" w:fill="FFFFFF"/>
          <w:lang w:eastAsia="ru-RU"/>
        </w:rPr>
        <w:t xml:space="preserve"> 6</w:t>
      </w:r>
      <w:r w:rsidRPr="00B847C6">
        <w:rPr>
          <w:rFonts w:ascii="Times New Roman" w:eastAsia="Times New Roman" w:hAnsi="Times New Roman" w:cs="Times New Roman"/>
          <w:b/>
          <w:bCs/>
          <w:color w:val="000000"/>
          <w:kern w:val="0"/>
          <w:sz w:val="30"/>
          <w:szCs w:val="30"/>
          <w:shd w:val="clear" w:color="auto" w:fill="FFFFFF"/>
          <w:lang w:eastAsia="ru-RU"/>
        </w:rPr>
        <w:tab/>
        <w:t>147</w:t>
      </w:r>
    </w:p>
    <w:p w14:paraId="6BB8FB41" w14:textId="77777777" w:rsidR="00B847C6" w:rsidRPr="00B847C6" w:rsidRDefault="00B847C6" w:rsidP="00B847C6">
      <w:pPr>
        <w:rPr>
          <w:rFonts w:ascii="Times New Roman" w:eastAsia="Times New Roman" w:hAnsi="Times New Roman" w:cs="Times New Roman"/>
          <w:b/>
          <w:bCs/>
          <w:color w:val="000000"/>
          <w:kern w:val="0"/>
          <w:sz w:val="30"/>
          <w:szCs w:val="30"/>
          <w:shd w:val="clear" w:color="auto" w:fill="FFFFFF"/>
          <w:lang w:eastAsia="ru-RU"/>
        </w:rPr>
      </w:pPr>
      <w:r w:rsidRPr="00B847C6">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B847C6">
        <w:rPr>
          <w:rFonts w:ascii="Times New Roman" w:eastAsia="Times New Roman" w:hAnsi="Times New Roman" w:cs="Times New Roman"/>
          <w:b/>
          <w:bCs/>
          <w:color w:val="000000"/>
          <w:kern w:val="0"/>
          <w:sz w:val="30"/>
          <w:szCs w:val="30"/>
          <w:shd w:val="clear" w:color="auto" w:fill="FFFFFF"/>
          <w:lang w:eastAsia="ru-RU"/>
        </w:rPr>
        <w:t xml:space="preserve"> 7</w:t>
      </w:r>
      <w:r w:rsidRPr="00B847C6">
        <w:rPr>
          <w:rFonts w:ascii="Times New Roman" w:eastAsia="Times New Roman" w:hAnsi="Times New Roman" w:cs="Times New Roman"/>
          <w:b/>
          <w:bCs/>
          <w:color w:val="000000"/>
          <w:kern w:val="0"/>
          <w:sz w:val="30"/>
          <w:szCs w:val="30"/>
          <w:shd w:val="clear" w:color="auto" w:fill="FFFFFF"/>
          <w:lang w:eastAsia="ru-RU"/>
        </w:rPr>
        <w:tab/>
        <w:t xml:space="preserve">148 </w:t>
      </w:r>
    </w:p>
    <w:p w14:paraId="15C634EF" w14:textId="6DC416BC" w:rsidR="005952F1" w:rsidRDefault="005952F1" w:rsidP="00B847C6"/>
    <w:p w14:paraId="16A91599" w14:textId="6003A7AD" w:rsidR="00B847C6" w:rsidRDefault="00B847C6" w:rsidP="00B847C6"/>
    <w:p w14:paraId="074488FE" w14:textId="6B483663" w:rsidR="00B847C6" w:rsidRDefault="00B847C6" w:rsidP="00B847C6"/>
    <w:p w14:paraId="063198F6" w14:textId="77777777" w:rsidR="00B847C6" w:rsidRPr="00B847C6" w:rsidRDefault="00B847C6" w:rsidP="00B847C6">
      <w:pPr>
        <w:keepNext/>
        <w:keepLines/>
        <w:tabs>
          <w:tab w:val="clear" w:pos="709"/>
        </w:tabs>
        <w:suppressAutoHyphens w:val="0"/>
        <w:spacing w:after="481" w:line="260" w:lineRule="exact"/>
        <w:ind w:left="20" w:firstLine="0"/>
        <w:jc w:val="center"/>
        <w:outlineLvl w:val="1"/>
        <w:rPr>
          <w:rFonts w:ascii="Times New Roman" w:eastAsia="Times New Roman" w:hAnsi="Times New Roman" w:cs="Times New Roman"/>
          <w:b/>
          <w:bCs/>
          <w:kern w:val="0"/>
          <w:sz w:val="26"/>
          <w:szCs w:val="26"/>
          <w:lang w:eastAsia="ru-RU"/>
        </w:rPr>
      </w:pPr>
      <w:bookmarkStart w:id="0" w:name="bookmark32"/>
      <w:r w:rsidRPr="00B847C6">
        <w:rPr>
          <w:rFonts w:ascii="Times New Roman" w:eastAsia="Times New Roman" w:hAnsi="Times New Roman" w:cs="Times New Roman"/>
          <w:b/>
          <w:bCs/>
          <w:color w:val="000000"/>
          <w:kern w:val="0"/>
          <w:sz w:val="26"/>
          <w:szCs w:val="26"/>
          <w:shd w:val="clear" w:color="auto" w:fill="FFFFFF"/>
          <w:lang w:eastAsia="ru-RU"/>
        </w:rPr>
        <w:t>ЗАКЛЮЧЕНИЕ</w:t>
      </w:r>
      <w:bookmarkEnd w:id="0"/>
    </w:p>
    <w:p w14:paraId="37C5BBCE" w14:textId="77777777" w:rsidR="00B847C6" w:rsidRPr="00B847C6" w:rsidRDefault="00B847C6" w:rsidP="00C04689">
      <w:pPr>
        <w:numPr>
          <w:ilvl w:val="0"/>
          <w:numId w:val="5"/>
        </w:numPr>
        <w:tabs>
          <w:tab w:val="clear" w:pos="360"/>
          <w:tab w:val="clear" w:pos="709"/>
          <w:tab w:val="left" w:pos="1142"/>
        </w:tabs>
        <w:suppressAutoHyphens w:val="0"/>
        <w:spacing w:after="0" w:line="480" w:lineRule="exact"/>
        <w:ind w:left="0" w:firstLine="760"/>
        <w:jc w:val="left"/>
        <w:rPr>
          <w:rFonts w:ascii="Times New Roman" w:eastAsia="Times New Roman" w:hAnsi="Times New Roman" w:cs="Times New Roman"/>
          <w:kern w:val="0"/>
          <w:sz w:val="26"/>
          <w:szCs w:val="26"/>
          <w:lang w:eastAsia="ru-RU"/>
        </w:rPr>
      </w:pPr>
      <w:bookmarkStart w:id="1" w:name="bookmark33"/>
      <w:r w:rsidRPr="00B847C6">
        <w:rPr>
          <w:rFonts w:ascii="Times New Roman" w:eastAsia="Times New Roman" w:hAnsi="Times New Roman" w:cs="Times New Roman"/>
          <w:color w:val="000000"/>
          <w:kern w:val="0"/>
          <w:sz w:val="26"/>
          <w:szCs w:val="26"/>
          <w:shd w:val="clear" w:color="auto" w:fill="FFFFFF"/>
          <w:lang w:eastAsia="ru-RU"/>
        </w:rPr>
        <w:t>На современном этапе развития российского банковского сектора отмечается стремительный рост потребительского кредитования при отсутствии устойчивого роста реальных доходов населения, что является признаком «перегрева рынка» и может стать серьезной угрозой стабильности национальной экономики. Долговая нагрузка населения увеличивается, что чревато социальной нестабильностью. По оценке председателя Банка России Эльвиры Набиуллиной кредитные средства используется не для наращивания спроса, что могло бы быть стимулом развития для реального сектора экономики, а для поддержания уровня жизни [87]. Таким образом, первопричиной стремительного роста потребительского кредитования является низкий уровень жизни населения, и в целях обеспечения стабильности российской экономики необходимо в первую очередь решать именно эту проблему.</w:t>
      </w:r>
      <w:bookmarkEnd w:id="1"/>
    </w:p>
    <w:p w14:paraId="37C2AEA5" w14:textId="77777777" w:rsidR="00B847C6" w:rsidRPr="00B847C6" w:rsidRDefault="00B847C6" w:rsidP="00B847C6">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 xml:space="preserve">Кредитование - одна из основных функций коммерческого банка, от качества кредитного портфеля банка зависит его надежность и финансовая устойчивость. Реализация рисков кредитного портфеля отдельного коммерческого банка может привести к появлению системных рисков. Поэтому важно обеспечить условия для формирования высококачественного кредитного портфеля как на макро-, так и на микроуровне. Прирост кредитных портфелей необходимо осуществлять преимущественно за счет кредитов, выданных с высокой вероятностью их своевременного погашения, а для этого требуется формирование такой системы управления качеством кредитного портфеля по потребительскому кредитованию, которая бы предусматривала контроль не только за </w:t>
      </w:r>
      <w:r w:rsidRPr="00B847C6">
        <w:rPr>
          <w:rFonts w:ascii="Times New Roman" w:eastAsia="Times New Roman" w:hAnsi="Times New Roman" w:cs="Times New Roman"/>
          <w:color w:val="000000"/>
          <w:kern w:val="0"/>
          <w:sz w:val="26"/>
          <w:szCs w:val="26"/>
          <w:shd w:val="clear" w:color="auto" w:fill="FFFFFF"/>
          <w:lang w:eastAsia="ru-RU"/>
        </w:rPr>
        <w:lastRenderedPageBreak/>
        <w:t>имеющимися активами в портфеле, но и за процессом принятия рисков.</w:t>
      </w:r>
    </w:p>
    <w:p w14:paraId="42B2BD7E" w14:textId="77777777" w:rsidR="00B847C6" w:rsidRPr="00B847C6" w:rsidRDefault="00B847C6" w:rsidP="00B847C6">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 xml:space="preserve">Для достижения данной цели в рамках работы были исследованы теоретические основы управления качеством кредитного портфеля коммерческого банка в сегменте потребительского кредитования, в результате чего было выявлено отсутствие в современной экономической литературе единого подхода к таким понятиям как </w:t>
      </w:r>
      <w:r w:rsidRPr="00B847C6">
        <w:rPr>
          <w:rFonts w:ascii="Times New Roman" w:eastAsia="Times New Roman" w:hAnsi="Times New Roman" w:cs="Times New Roman"/>
          <w:i/>
          <w:iCs/>
          <w:color w:val="000000"/>
          <w:kern w:val="0"/>
          <w:sz w:val="26"/>
          <w:szCs w:val="26"/>
          <w:shd w:val="clear" w:color="auto" w:fill="FFFFFF"/>
          <w:lang w:eastAsia="ru-RU"/>
        </w:rPr>
        <w:t>кредитный портфель, качество кредитного портфеля, банковские риски, влияющие на него.</w:t>
      </w:r>
    </w:p>
    <w:p w14:paraId="5E1C6489" w14:textId="77777777" w:rsidR="00B847C6" w:rsidRPr="00B847C6" w:rsidRDefault="00B847C6" w:rsidP="00B847C6">
      <w:pPr>
        <w:tabs>
          <w:tab w:val="clear" w:pos="709"/>
        </w:tabs>
        <w:suppressAutoHyphens w:val="0"/>
        <w:spacing w:after="0" w:line="480" w:lineRule="exact"/>
        <w:ind w:firstLine="78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Отсутствие единого понятийного аппарата может привезти к некорректному толкованию или искажению информации о деятельности коммерческого банка, а также создает коммуникативные барьеры между банковскими служащими, надзорными органами, исследователями, занимающихся проблематикой банковского сектора, в связи с чем по итогам анализа существующих трактовок автором были предложены уточненные определения указанных понятий:</w:t>
      </w:r>
    </w:p>
    <w:p w14:paraId="0249CCD7" w14:textId="77777777" w:rsidR="00B847C6" w:rsidRPr="00B847C6" w:rsidRDefault="00B847C6" w:rsidP="00C04689">
      <w:pPr>
        <w:numPr>
          <w:ilvl w:val="0"/>
          <w:numId w:val="6"/>
        </w:numPr>
        <w:tabs>
          <w:tab w:val="clear" w:pos="709"/>
          <w:tab w:val="left" w:pos="1494"/>
        </w:tabs>
        <w:suppressAutoHyphens w:val="0"/>
        <w:spacing w:after="0" w:line="485" w:lineRule="exact"/>
        <w:jc w:val="left"/>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кредитный портфель - это совокупная ссудная задолженность по действующим договорам, включая договоры, заключенные в рамках комплексного обслуживания, рассчитанная на определенную дату;</w:t>
      </w:r>
    </w:p>
    <w:p w14:paraId="64440B40" w14:textId="77777777" w:rsidR="00B847C6" w:rsidRPr="00B847C6" w:rsidRDefault="00B847C6" w:rsidP="00C04689">
      <w:pPr>
        <w:numPr>
          <w:ilvl w:val="0"/>
          <w:numId w:val="6"/>
        </w:numPr>
        <w:tabs>
          <w:tab w:val="clear" w:pos="709"/>
          <w:tab w:val="left" w:pos="1494"/>
        </w:tabs>
        <w:suppressAutoHyphens w:val="0"/>
        <w:spacing w:after="0" w:line="485" w:lineRule="exact"/>
        <w:jc w:val="left"/>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качество кредитного портфеля - это совокупность характеристик кредитного портфеля, отражающих уровень его доходности и риска.</w:t>
      </w:r>
    </w:p>
    <w:p w14:paraId="21708A78" w14:textId="77777777" w:rsidR="00B847C6" w:rsidRPr="00B847C6" w:rsidRDefault="00B847C6" w:rsidP="00C04689">
      <w:pPr>
        <w:numPr>
          <w:ilvl w:val="0"/>
          <w:numId w:val="6"/>
        </w:numPr>
        <w:tabs>
          <w:tab w:val="clear" w:pos="709"/>
          <w:tab w:val="left" w:pos="1494"/>
        </w:tabs>
        <w:suppressAutoHyphens w:val="0"/>
        <w:spacing w:after="0" w:line="480" w:lineRule="exact"/>
        <w:jc w:val="left"/>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банковские риски - вероятность снижения финансовой устойчивости кредитной организации, обусловленная внутренними и/или внешними факторами, которая может привести к возникновению системных рисков.</w:t>
      </w:r>
    </w:p>
    <w:p w14:paraId="757CDD81" w14:textId="77777777" w:rsidR="00B847C6" w:rsidRPr="00B847C6" w:rsidRDefault="00B847C6" w:rsidP="00B847C6">
      <w:pPr>
        <w:tabs>
          <w:tab w:val="clear" w:pos="709"/>
        </w:tabs>
        <w:suppressAutoHyphens w:val="0"/>
        <w:spacing w:after="0" w:line="480" w:lineRule="exact"/>
        <w:ind w:firstLine="78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 xml:space="preserve">Из рассмотренных определений и классификаций банковских рисков, предложенных разными авторами, был сделан вывод, что отдельные категории риска не вписываются в четкие рамки: операционный риск, как и рыночный, может стать причиной кредитного риска, и наоборот; риск делового события можно отнести к рыночным рискам, а риск утраты ликвидности фактически описывает частные случаи рыночного риска и операционного. Все указанные риски влияют в той или иной степени на качество кредитного портфеля, однако, если принимать во внимание то, что в последние годы основными причинами отзыва лицензий у коммерческих банков являются агрессивная </w:t>
      </w:r>
      <w:r w:rsidRPr="00B847C6">
        <w:rPr>
          <w:rFonts w:ascii="Times New Roman" w:eastAsia="Times New Roman" w:hAnsi="Times New Roman" w:cs="Times New Roman"/>
          <w:color w:val="000000"/>
          <w:kern w:val="0"/>
          <w:sz w:val="26"/>
          <w:szCs w:val="26"/>
          <w:shd w:val="clear" w:color="auto" w:fill="FFFFFF"/>
          <w:lang w:eastAsia="ru-RU"/>
        </w:rPr>
        <w:lastRenderedPageBreak/>
        <w:t>кредитная политика, низкий уровень качества активов, а точнее высокий уровень просроченной задолженности по кредитному портфелю, то особым образом, как риски, влияющие на качество кредитного портфеля, необходимо выделить кредитный риск, а также операционный, поскольку он оказывает прямое воздействие на уровень кредитного риска.</w:t>
      </w:r>
    </w:p>
    <w:p w14:paraId="524A9BBE" w14:textId="77777777" w:rsidR="00B847C6" w:rsidRPr="00B847C6" w:rsidRDefault="00B847C6" w:rsidP="00C04689">
      <w:pPr>
        <w:numPr>
          <w:ilvl w:val="0"/>
          <w:numId w:val="5"/>
        </w:numPr>
        <w:tabs>
          <w:tab w:val="clear" w:pos="360"/>
          <w:tab w:val="clear" w:pos="709"/>
          <w:tab w:val="left" w:pos="1044"/>
        </w:tabs>
        <w:suppressAutoHyphens w:val="0"/>
        <w:spacing w:after="0" w:line="480" w:lineRule="exact"/>
        <w:ind w:left="0" w:firstLine="740"/>
        <w:jc w:val="left"/>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В рамках проводимого исследования была проанализирована нормативно</w:t>
      </w:r>
      <w:r w:rsidRPr="00B847C6">
        <w:rPr>
          <w:rFonts w:ascii="Times New Roman" w:eastAsia="Times New Roman" w:hAnsi="Times New Roman" w:cs="Times New Roman"/>
          <w:color w:val="000000"/>
          <w:kern w:val="0"/>
          <w:sz w:val="26"/>
          <w:szCs w:val="26"/>
          <w:shd w:val="clear" w:color="auto" w:fill="FFFFFF"/>
          <w:lang w:eastAsia="ru-RU"/>
        </w:rPr>
        <w:softHyphen/>
        <w:t>правовая система регулирования управления качеством портфелей коммерческих банков по потребительскому кредитованию. В России не существует нормативного акта, посвященного непосредственно данному вопросу, но различные аспекты регулирования, прямо или косвенно влияющие на качество кредитного портфеля, рассмотрены в целом ряде нормативно-правовых актов. По итогам проведенного анализа был сделан вывод, что нормативно-правовое регулирование системы управления качеством кредитного портфеля коммерческих банков в России, как и банковское регулирование в целом соответствует международным стандартом, однако в России банковский надзор за управлением качеством кредитных портфелей выражен преимущественно в контроле количественных коэффициентов, по которым оценивается деятельность коммерческих банков, а основной инструмент регулирования банковского сектора - это резервная система.</w:t>
      </w:r>
    </w:p>
    <w:p w14:paraId="1345A7DC" w14:textId="77777777" w:rsidR="00B847C6" w:rsidRPr="00B847C6" w:rsidRDefault="00B847C6" w:rsidP="00B847C6">
      <w:pPr>
        <w:tabs>
          <w:tab w:val="clear" w:pos="709"/>
          <w:tab w:val="left" w:pos="8132"/>
        </w:tabs>
        <w:suppressAutoHyphens w:val="0"/>
        <w:spacing w:after="0" w:line="480" w:lineRule="exact"/>
        <w:ind w:firstLine="74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Эффективность такой политики вызывает сомнение:</w:t>
      </w:r>
      <w:r w:rsidRPr="00B847C6">
        <w:rPr>
          <w:rFonts w:ascii="Times New Roman" w:eastAsia="Times New Roman" w:hAnsi="Times New Roman" w:cs="Times New Roman"/>
          <w:color w:val="000000"/>
          <w:kern w:val="0"/>
          <w:sz w:val="26"/>
          <w:szCs w:val="26"/>
          <w:shd w:val="clear" w:color="auto" w:fill="FFFFFF"/>
          <w:lang w:eastAsia="ru-RU"/>
        </w:rPr>
        <w:tab/>
        <w:t>в российском</w:t>
      </w:r>
    </w:p>
    <w:p w14:paraId="7245629C" w14:textId="77777777" w:rsidR="00B847C6" w:rsidRPr="00B847C6" w:rsidRDefault="00B847C6" w:rsidP="00B847C6">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банковском бизнесе зачастую срабатывает правило «нежелательного отбора», при котором коммерческие банки предпочитают кредитовать высокорискованных заемщиков-физических лиц с низким уровнем дохода под высокие процентные ставки, чем искать клиентов с меньшим уровнем риска и более высокими доходами. Таким образом, дополнительные надбавки к коэффициентам риска по высокорискованным потребительским кредитам могут не оказать требуемого сдерживающего эффекта и, по мнению автора, требуется пересмотр подхода к контролю над кредитной политикой коммерческих банков.</w:t>
      </w:r>
    </w:p>
    <w:p w14:paraId="6AE4E3A5" w14:textId="77777777" w:rsidR="00B847C6" w:rsidRPr="00B847C6" w:rsidRDefault="00B847C6" w:rsidP="00C04689">
      <w:pPr>
        <w:numPr>
          <w:ilvl w:val="0"/>
          <w:numId w:val="5"/>
        </w:numPr>
        <w:tabs>
          <w:tab w:val="clear" w:pos="360"/>
          <w:tab w:val="clear" w:pos="709"/>
          <w:tab w:val="left" w:pos="1044"/>
        </w:tabs>
        <w:suppressAutoHyphens w:val="0"/>
        <w:spacing w:after="0" w:line="480" w:lineRule="exact"/>
        <w:ind w:left="0" w:firstLine="740"/>
        <w:jc w:val="left"/>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 xml:space="preserve">Контроль над утверждением и реализацией кредитной политики со стороны регулятора должен способствовать оптимальному с точки зрения стабильного </w:t>
      </w:r>
      <w:r w:rsidRPr="00B847C6">
        <w:rPr>
          <w:rFonts w:ascii="Times New Roman" w:eastAsia="Times New Roman" w:hAnsi="Times New Roman" w:cs="Times New Roman"/>
          <w:color w:val="000000"/>
          <w:kern w:val="0"/>
          <w:sz w:val="26"/>
          <w:szCs w:val="26"/>
          <w:shd w:val="clear" w:color="auto" w:fill="FFFFFF"/>
          <w:lang w:eastAsia="ru-RU"/>
        </w:rPr>
        <w:lastRenderedPageBreak/>
        <w:t>экономического роста развитию банковского сектора, а не сдерживать его. На наш взгляд важно, чтобы формально закрепленная кредитная политика была максимально информативной, отражающей не только общие направления банковской стратегии и регламент кредитных процессов, но и фактически реализуемую банком кредитную политику, планы по развитию (наращиванию/сокращению/изменению структуры и т.д.) кредитного портфеля. Кредитная политика должна быть экономически обоснованной, т.е. она должна учитывать, как рыночную ситуацию, так и особенности развития банка, например, участие банка в качестве уполномоченного агента по реализации государственных программ, наличие в клиентской базе преуспевающих перспективных клиентов, возможность расширения филиальной сети для увеличения кредитного портфеля, возможность использования новых каналов продаж и т.д. Цели, поставленные кредитной политикой, должны разрабатываться с учетом имеющихся или потенциальных инструментов для их достижения, а не только из расчета желаемого финансового результата.</w:t>
      </w:r>
    </w:p>
    <w:p w14:paraId="69FE1D36" w14:textId="77777777" w:rsidR="00B847C6" w:rsidRPr="00B847C6" w:rsidRDefault="00B847C6" w:rsidP="00B847C6">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Необходимо отражение в кредитной политике методики установления плановых показателей продаж банковских продуктов, на основании которой будут разрабатываться и утверждаются квартальные и годовые планы продаж. Сравнение реально установленных плановых показателей, уровня их фактического выполнения с методикой, отраженной в кредитной политике, позволит судить о том, придерживается ли банк принципов, заявленных в Положении о кредитной политике, а также можно ли охарактеризовать его деятельность как агрессивную.</w:t>
      </w:r>
    </w:p>
    <w:p w14:paraId="54B38C97" w14:textId="77777777" w:rsidR="00B847C6" w:rsidRPr="00B847C6" w:rsidRDefault="00B847C6" w:rsidP="00B847C6">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 xml:space="preserve">Данный элемент системы управления качеством кредитного портфеля коммерческого банка позволит контролировать деятельность банковских управляющих. В настоящее время кредитная политика отражает в основном стандарты и процедуры кредитования, полномочия сотрудников, особенности взаимодействия между банком и клиентами. Автором предлагается обязательное уведомление регулятора о методике расчета и установления плановых показателей продаж банковских кредитных продуктов, это подразумевает не только предоставление конкретных цифр, но и их обоснование с учетом сезонности, общего роста или спада продаж в банковском секторе, </w:t>
      </w:r>
      <w:r w:rsidRPr="00B847C6">
        <w:rPr>
          <w:rFonts w:ascii="Times New Roman" w:eastAsia="Times New Roman" w:hAnsi="Times New Roman" w:cs="Times New Roman"/>
          <w:color w:val="000000"/>
          <w:kern w:val="0"/>
          <w:sz w:val="26"/>
          <w:szCs w:val="26"/>
          <w:shd w:val="clear" w:color="auto" w:fill="FFFFFF"/>
          <w:lang w:eastAsia="ru-RU"/>
        </w:rPr>
        <w:lastRenderedPageBreak/>
        <w:t>внутрибанковских планов. Установление плановых показателей должно включать в себя также разработку средств для достижения установленных результатов. Таким образом, если запланировано существенное увеличение роста продаж кредитных продуктов, которое не обосновано ни рыночной ситуацией, ни какими-либо отдельными внутрибанковскими факторами (например, запуском нового кредитного продукта, конкурентные преимущества которого позволят увеличить объем кредитования, или партнерским соглашением с крупной организацией о льготном кредитовании персонала и т.д.), то можно будет сделать вывод о необоснованном завышении плановых показателей, а значит о возможном скрытом применении мер «хищнического» кредитования. Предлагаемые меры позволят сформировать такие условия на рынке банковского кредитования, которые позволят сократить финансовую уязвимость российских заемщиков.</w:t>
      </w:r>
    </w:p>
    <w:p w14:paraId="07254CE2" w14:textId="77777777" w:rsidR="00B847C6" w:rsidRPr="00B847C6" w:rsidRDefault="00B847C6" w:rsidP="00B847C6">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Анализ современного процесса кредитования в коммерческих банках показал необходимость пересмотра требований к расчету долговой нагрузки заемщиков, а также создания информационной системы, позволяющей наиболее эффективно оценить кредитоспособность заемщика.</w:t>
      </w:r>
    </w:p>
    <w:p w14:paraId="3D032D47" w14:textId="77777777" w:rsidR="00B847C6" w:rsidRPr="00B847C6" w:rsidRDefault="00B847C6" w:rsidP="00C04689">
      <w:pPr>
        <w:numPr>
          <w:ilvl w:val="0"/>
          <w:numId w:val="5"/>
        </w:numPr>
        <w:tabs>
          <w:tab w:val="clear" w:pos="360"/>
          <w:tab w:val="clear" w:pos="709"/>
          <w:tab w:val="left" w:pos="1128"/>
        </w:tabs>
        <w:suppressAutoHyphens w:val="0"/>
        <w:spacing w:after="0" w:line="480" w:lineRule="exact"/>
        <w:ind w:left="0" w:firstLine="740"/>
        <w:jc w:val="left"/>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В ходе исследования современной системы управления качеством кредитного портфеля в сегменте потребительского кредитования был проведен количественный анализ кредитных портфелей по потребительским кредитам отдельных розничных коммерческих банков, занимающих лидирующие позиции по данному направлению деятельности.</w:t>
      </w:r>
    </w:p>
    <w:p w14:paraId="3DECD8F5" w14:textId="77777777" w:rsidR="00B847C6" w:rsidRPr="00B847C6" w:rsidRDefault="00B847C6" w:rsidP="00B847C6">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Произведенные расчеты свидетельствуют о высокой рентабельности потребительского кредитования: значение коэффициента рентабельности капитала у исследуемых розничных банков в большинстве случаев значительного выше среднего показателя по банковскому сектору России. Важно отметить, что высокая рентабельность исследуемых банков отличается также и высокой волатильностью («Хоум Кредит Банк», «Ренессанс Кредит»).</w:t>
      </w:r>
    </w:p>
    <w:p w14:paraId="424BF284" w14:textId="77777777" w:rsidR="00B847C6" w:rsidRPr="00B847C6" w:rsidRDefault="00B847C6" w:rsidP="00B847C6">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 xml:space="preserve">Уровень просроченной задолженности по кредитным портфелям исследуемых банков в последнее время снижается, но нужно учитывать, что данный эффект может быть </w:t>
      </w:r>
      <w:r w:rsidRPr="00B847C6">
        <w:rPr>
          <w:rFonts w:ascii="Times New Roman" w:eastAsia="Times New Roman" w:hAnsi="Times New Roman" w:cs="Times New Roman"/>
          <w:color w:val="000000"/>
          <w:kern w:val="0"/>
          <w:sz w:val="26"/>
          <w:szCs w:val="26"/>
          <w:shd w:val="clear" w:color="auto" w:fill="FFFFFF"/>
          <w:lang w:eastAsia="ru-RU"/>
        </w:rPr>
        <w:lastRenderedPageBreak/>
        <w:t>вызван приростом новых кредитов или полной переуступкой прав по кредитам с длительным сроком просроченной задолженности, что косвенно подтверждается данными о росте кредитного портфеля и росте рынка банковской цессии. Несколько более точно о принятом банками риске можно судить по уровню резервирования кредитного портфеля, который у рассматриваемых банков достаточно высок. В связи тем, что в рассматриваемый период у большинства исследуемых банков величина сформированных под возможные потери резервов близка или даже превышает размер собственного капитала, был сделан вывод о принятии довольно высокого уровня риска, которые в большинстве случаев, судя по рентабельности капитала, окупается.</w:t>
      </w:r>
    </w:p>
    <w:p w14:paraId="76A37EAD" w14:textId="77777777" w:rsidR="00B847C6" w:rsidRPr="00B847C6" w:rsidRDefault="00B847C6" w:rsidP="00B847C6">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Полученные в результате анализа данные подтверждают, что резервные требования не снижают «аппетит к риску» у коммерческих банков России, а значит мало способствуют повышению качества их кредитных портфелей.</w:t>
      </w:r>
    </w:p>
    <w:p w14:paraId="793FB30C" w14:textId="77777777" w:rsidR="00B847C6" w:rsidRPr="00B847C6" w:rsidRDefault="00B847C6" w:rsidP="00B847C6">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Для исправления данной ситуации, по мнению автора, следует повысить эффективность оценки заемщиков, что позволит предотвратить принятие банками чрезмерных рисков и повысит точность прогнозирования вероятности возврата кредита. Так как единая скоринговая модель для всех банков не может быть эффективной (характеристики заемщика, определяющие вероятность возврата кредита, могут отличаться как по различным банковским продуктам, так и в рамках различных регионах страны), соответственно, необходимо создать условия для получения максимально полной и достоверной информации о заемщике для проведения ее дальнейшего анализа. С этой целью автором была предложена модель создания единой информационной системы, данные которой можно было бы использовать как для создания скоринговых карт, так и для экспертных оценок потенциальных заемщиков. Кроме того, единая информационная система - это один из инструментов управления данными, ее использование позволит не только аккумулировать информацию, но и систематизировать ее. Это в свою очередь упростит процесс контроля и регулирования деятельности коммерческих банков, поскольку наличие единой для коммерческих банков информационной системы позволит сформулировать четкие универсальные требования к отчетности, что повысит прозрачность банковской деятельности.</w:t>
      </w:r>
    </w:p>
    <w:p w14:paraId="1BC4CB79" w14:textId="77777777" w:rsidR="00B847C6" w:rsidRPr="00B847C6" w:rsidRDefault="00B847C6" w:rsidP="00C04689">
      <w:pPr>
        <w:numPr>
          <w:ilvl w:val="0"/>
          <w:numId w:val="5"/>
        </w:numPr>
        <w:tabs>
          <w:tab w:val="clear" w:pos="360"/>
          <w:tab w:val="clear" w:pos="709"/>
          <w:tab w:val="left" w:pos="1038"/>
        </w:tabs>
        <w:suppressAutoHyphens w:val="0"/>
        <w:spacing w:after="0" w:line="480" w:lineRule="exact"/>
        <w:ind w:left="0" w:firstLine="740"/>
        <w:jc w:val="left"/>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lastRenderedPageBreak/>
        <w:t>Другим направлением совершенствования системы банковского надзора за управлением качеством кредитного портфеля коммерческого банка по кредитам физическим лицам, предложенным автором, является введение обязательной оценки квалификации для лиц, занятых в кредитном процессе.</w:t>
      </w:r>
    </w:p>
    <w:p w14:paraId="67BE9B06" w14:textId="77777777" w:rsidR="00B847C6" w:rsidRPr="00B847C6" w:rsidRDefault="00B847C6" w:rsidP="00B847C6">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В большинстве случаев вопрос квалификации сотрудников банка решается кадровой политикой банка, которая далеко не всегда уделяет данному вопросу должное внимание, и решением непосредственного руководителя структурного подразделения коммерческого банка. Недостаточная квалификация персонала в сочетании с неэффективной системой мотивации (низкий уровень дохода или прямая зависимость дохода от объема продаж банковских продуктов без учета качества этих продаж) обуславливает как ошибки банковских служащих, наносящие ущерб банку, так и умышленные действия сотрудников, снижающие качество кредитного портфеля.</w:t>
      </w:r>
    </w:p>
    <w:p w14:paraId="164E2C9E" w14:textId="77777777" w:rsidR="00B847C6" w:rsidRPr="00B847C6" w:rsidRDefault="00B847C6" w:rsidP="00B847C6">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В настоящее время в России ведется активная работа по внедрению профессиональных стандартов, устанавливающих требования к профессиональной квалификации специалистов различных отраслей экономики. Однако их применение не является обязательным: частный сектор самостоятельно определяет для себя необходимость их применения.</w:t>
      </w:r>
    </w:p>
    <w:p w14:paraId="50127167" w14:textId="77777777" w:rsidR="00B847C6" w:rsidRPr="00B847C6" w:rsidRDefault="00B847C6" w:rsidP="00B847C6">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По мнению автора, в связи с существенными системными рисками, вызванными стремительным ростом потребительского кредитования, необходимо усилить контроль за деятельностью коммерческих банков в данном направление. Однако усиление контроля должно проявиться не в очередном повышении нормативных требований, а в контроле за квалификацией отдельных сотрудников, чья деятельность непосредственно влияет на принятие банком кредитного риска. Для решения данной задачи предлагается ввести обязательную оценку квалификации для специалистов по потребительскому кредитованию.</w:t>
      </w:r>
    </w:p>
    <w:p w14:paraId="6E956B9C" w14:textId="77777777" w:rsidR="00B847C6" w:rsidRPr="00B847C6" w:rsidRDefault="00B847C6" w:rsidP="00B847C6">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r w:rsidRPr="00B847C6">
        <w:rPr>
          <w:rFonts w:ascii="Times New Roman" w:eastAsia="Times New Roman" w:hAnsi="Times New Roman" w:cs="Times New Roman"/>
          <w:color w:val="000000"/>
          <w:kern w:val="0"/>
          <w:sz w:val="26"/>
          <w:szCs w:val="26"/>
          <w:shd w:val="clear" w:color="auto" w:fill="FFFFFF"/>
          <w:lang w:eastAsia="ru-RU"/>
        </w:rPr>
        <w:t>Автором проанализирован профессиональный стандарт «Специалист по потребительскому кредитованию», выявлены его недостатки, обоснована необходимость его пересмотра и нормативного закрепления требования к обязательности его применения.</w:t>
      </w:r>
    </w:p>
    <w:p w14:paraId="754E2ECA" w14:textId="77777777" w:rsidR="00B847C6" w:rsidRPr="00B847C6" w:rsidRDefault="00B847C6" w:rsidP="00B847C6">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sectPr w:rsidR="00B847C6" w:rsidRPr="00B847C6" w:rsidSect="00B847C6">
          <w:type w:val="continuous"/>
          <w:pgSz w:w="11900" w:h="16840"/>
          <w:pgMar w:top="1373" w:right="527" w:bottom="1123" w:left="1369" w:header="0" w:footer="3" w:gutter="0"/>
          <w:cols w:space="720"/>
          <w:noEndnote/>
          <w:docGrid w:linePitch="360"/>
        </w:sectPr>
      </w:pPr>
      <w:r w:rsidRPr="00B847C6">
        <w:rPr>
          <w:rFonts w:ascii="Times New Roman" w:eastAsia="Times New Roman" w:hAnsi="Times New Roman" w:cs="Times New Roman"/>
          <w:color w:val="000000"/>
          <w:kern w:val="0"/>
          <w:sz w:val="26"/>
          <w:szCs w:val="26"/>
          <w:shd w:val="clear" w:color="auto" w:fill="FFFFFF"/>
          <w:lang w:eastAsia="ru-RU"/>
        </w:rPr>
        <w:t xml:space="preserve">Предложенные автором меры позволят существенно повысить качество кредитных </w:t>
      </w:r>
      <w:r w:rsidRPr="00B847C6">
        <w:rPr>
          <w:rFonts w:ascii="Times New Roman" w:eastAsia="Times New Roman" w:hAnsi="Times New Roman" w:cs="Times New Roman"/>
          <w:color w:val="000000"/>
          <w:kern w:val="0"/>
          <w:sz w:val="26"/>
          <w:szCs w:val="26"/>
          <w:shd w:val="clear" w:color="auto" w:fill="FFFFFF"/>
          <w:lang w:eastAsia="ru-RU"/>
        </w:rPr>
        <w:lastRenderedPageBreak/>
        <w:t>портфелей коммерческих банков, что положительно отразится на их финансовой устойчивости и стабильности. Применение данных мер может привести к некоторому сокращению объемов потребительского кредитования, однако обеспечит качественный прирост соответствующих кредитных портфелей, что является приоритетным с точки зрения стабильного экономического роста.</w:t>
      </w:r>
    </w:p>
    <w:p w14:paraId="4C5B640F" w14:textId="77777777" w:rsidR="00B847C6" w:rsidRPr="00B847C6" w:rsidRDefault="00B847C6" w:rsidP="00B847C6"/>
    <w:sectPr w:rsidR="00B847C6" w:rsidRPr="00B847C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5C511" w14:textId="77777777" w:rsidR="00C04689" w:rsidRDefault="00C04689">
      <w:pPr>
        <w:spacing w:after="0" w:line="240" w:lineRule="auto"/>
      </w:pPr>
      <w:r>
        <w:separator/>
      </w:r>
    </w:p>
  </w:endnote>
  <w:endnote w:type="continuationSeparator" w:id="0">
    <w:p w14:paraId="386055B8" w14:textId="77777777" w:rsidR="00C04689" w:rsidRDefault="00C04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9019" w14:textId="77777777" w:rsidR="00C04689" w:rsidRDefault="00C04689"/>
    <w:p w14:paraId="1776DF2F" w14:textId="77777777" w:rsidR="00C04689" w:rsidRDefault="00C04689"/>
    <w:p w14:paraId="465CC838" w14:textId="77777777" w:rsidR="00C04689" w:rsidRDefault="00C04689"/>
    <w:p w14:paraId="7079E462" w14:textId="77777777" w:rsidR="00C04689" w:rsidRDefault="00C04689"/>
    <w:p w14:paraId="0F3B6DDA" w14:textId="77777777" w:rsidR="00C04689" w:rsidRDefault="00C04689"/>
    <w:p w14:paraId="75F20D8C" w14:textId="77777777" w:rsidR="00C04689" w:rsidRDefault="00C04689"/>
    <w:p w14:paraId="61FEAD64" w14:textId="77777777" w:rsidR="00C04689" w:rsidRDefault="00C046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701E7C" wp14:editId="154E27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38C14" w14:textId="77777777" w:rsidR="00C04689" w:rsidRDefault="00C046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701E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F38C14" w14:textId="77777777" w:rsidR="00C04689" w:rsidRDefault="00C046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4EC726" w14:textId="77777777" w:rsidR="00C04689" w:rsidRDefault="00C04689"/>
    <w:p w14:paraId="233AACE9" w14:textId="77777777" w:rsidR="00C04689" w:rsidRDefault="00C04689"/>
    <w:p w14:paraId="1D0831A7" w14:textId="77777777" w:rsidR="00C04689" w:rsidRDefault="00C046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4A88A2" wp14:editId="3068B6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058FF" w14:textId="77777777" w:rsidR="00C04689" w:rsidRDefault="00C04689"/>
                          <w:p w14:paraId="2472E27D" w14:textId="77777777" w:rsidR="00C04689" w:rsidRDefault="00C046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4A88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5058FF" w14:textId="77777777" w:rsidR="00C04689" w:rsidRDefault="00C04689"/>
                    <w:p w14:paraId="2472E27D" w14:textId="77777777" w:rsidR="00C04689" w:rsidRDefault="00C046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659754" w14:textId="77777777" w:rsidR="00C04689" w:rsidRDefault="00C04689"/>
    <w:p w14:paraId="7A6B4C2D" w14:textId="77777777" w:rsidR="00C04689" w:rsidRDefault="00C04689">
      <w:pPr>
        <w:rPr>
          <w:sz w:val="2"/>
          <w:szCs w:val="2"/>
        </w:rPr>
      </w:pPr>
    </w:p>
    <w:p w14:paraId="01565250" w14:textId="77777777" w:rsidR="00C04689" w:rsidRDefault="00C04689"/>
    <w:p w14:paraId="67A07331" w14:textId="77777777" w:rsidR="00C04689" w:rsidRDefault="00C04689">
      <w:pPr>
        <w:spacing w:after="0" w:line="240" w:lineRule="auto"/>
      </w:pPr>
    </w:p>
  </w:footnote>
  <w:footnote w:type="continuationSeparator" w:id="0">
    <w:p w14:paraId="27F607C9" w14:textId="77777777" w:rsidR="00C04689" w:rsidRDefault="00C04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6D"/>
    <w:multiLevelType w:val="multilevel"/>
    <w:tmpl w:val="0000006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9"/>
  </w:num>
  <w:num w:numId="6">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89"/>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60887</TotalTime>
  <Pages>11</Pages>
  <Words>2467</Words>
  <Characters>14067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1370</cp:revision>
  <cp:lastPrinted>2009-02-06T05:36:00Z</cp:lastPrinted>
  <dcterms:created xsi:type="dcterms:W3CDTF">2024-01-07T13:43:00Z</dcterms:created>
  <dcterms:modified xsi:type="dcterms:W3CDTF">2025-04-02T12:53:00Z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