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A81959" w:rsidRDefault="00A81959" w:rsidP="00A81959">
      <w:r w:rsidRPr="009D651B">
        <w:rPr>
          <w:rFonts w:ascii="Times New Roman" w:eastAsia="Times New Roman" w:hAnsi="Times New Roman" w:cs="Times New Roman"/>
          <w:b/>
          <w:sz w:val="24"/>
          <w:szCs w:val="24"/>
          <w:lang w:eastAsia="ru-RU"/>
        </w:rPr>
        <w:t xml:space="preserve">Дідківська Галина Василівна, </w:t>
      </w:r>
      <w:r w:rsidRPr="009D651B">
        <w:rPr>
          <w:rFonts w:ascii="Times New Roman" w:eastAsia="Times New Roman" w:hAnsi="Times New Roman" w:cs="Times New Roman"/>
          <w:sz w:val="24"/>
          <w:szCs w:val="24"/>
          <w:lang w:eastAsia="ru-RU"/>
        </w:rPr>
        <w:t>завідувач кафедри кримінального права та кримінології, Університет державної фіскальної служби України. Назва дисертації: «</w:t>
      </w:r>
      <w:r w:rsidRPr="009D651B">
        <w:rPr>
          <w:rFonts w:ascii="Times New Roman" w:eastAsia="Calibri" w:hAnsi="Times New Roman" w:cs="Times New Roman"/>
          <w:color w:val="000000"/>
          <w:sz w:val="24"/>
          <w:szCs w:val="24"/>
        </w:rPr>
        <w:t>Кримінологічні засади участі України в міжнародній системі запобігання злочинності</w:t>
      </w:r>
      <w:r w:rsidRPr="009D651B">
        <w:rPr>
          <w:rFonts w:ascii="Times New Roman" w:eastAsia="Times New Roman" w:hAnsi="Times New Roman" w:cs="Times New Roman"/>
          <w:color w:val="000000"/>
          <w:sz w:val="24"/>
          <w:szCs w:val="24"/>
          <w:lang w:eastAsia="ru-RU"/>
        </w:rPr>
        <w:t>».</w:t>
      </w:r>
      <w:r w:rsidRPr="009D651B">
        <w:rPr>
          <w:rFonts w:ascii="Times New Roman" w:eastAsia="Times New Roman" w:hAnsi="Times New Roman" w:cs="Times New Roman"/>
          <w:sz w:val="24"/>
          <w:szCs w:val="24"/>
          <w:lang w:eastAsia="ru-RU"/>
        </w:rPr>
        <w:t xml:space="preserve">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BF7DF3" w:rsidRPr="00A8195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C0F01-0944-4B16-84FE-FCF4F804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2020-06-22T18:27:00Z</dcterms:created>
  <dcterms:modified xsi:type="dcterms:W3CDTF">2020-06-26T05:54:00Z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