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1D2CC" w14:textId="1418257B" w:rsidR="00083FCC" w:rsidRDefault="007C4D0E" w:rsidP="007C4D0E">
      <w:pPr>
        <w:rPr>
          <w:rFonts w:ascii="Verdana" w:hAnsi="Verdana"/>
          <w:b/>
          <w:bCs/>
          <w:color w:val="000000"/>
          <w:shd w:val="clear" w:color="auto" w:fill="FFFFFF"/>
        </w:rPr>
      </w:pPr>
      <w:r>
        <w:rPr>
          <w:rFonts w:ascii="Verdana" w:hAnsi="Verdana"/>
          <w:b/>
          <w:bCs/>
          <w:color w:val="000000"/>
          <w:shd w:val="clear" w:color="auto" w:fill="FFFFFF"/>
        </w:rPr>
        <w:t>Балашова Ольга Володимирівна. Податковий механізм стимулювання інвестиційної діяльності промислових підприємств: дис... канд. екон. наук: 08.06.01 / Приазовський держ. технічний ун-т. - Маріуполь,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C4D0E" w:rsidRPr="007C4D0E" w14:paraId="5F3A02D7" w14:textId="77777777" w:rsidTr="007C4D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4D0E" w:rsidRPr="007C4D0E" w14:paraId="2F74133F" w14:textId="77777777">
              <w:trPr>
                <w:tblCellSpacing w:w="0" w:type="dxa"/>
              </w:trPr>
              <w:tc>
                <w:tcPr>
                  <w:tcW w:w="0" w:type="auto"/>
                  <w:vAlign w:val="center"/>
                  <w:hideMark/>
                </w:tcPr>
                <w:p w14:paraId="2EB0764E" w14:textId="77777777" w:rsidR="007C4D0E" w:rsidRPr="007C4D0E" w:rsidRDefault="007C4D0E" w:rsidP="007C4D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D0E">
                    <w:rPr>
                      <w:rFonts w:ascii="Times New Roman" w:eastAsia="Times New Roman" w:hAnsi="Times New Roman" w:cs="Times New Roman"/>
                      <w:sz w:val="24"/>
                      <w:szCs w:val="24"/>
                    </w:rPr>
                    <w:lastRenderedPageBreak/>
                    <w:t>Балашова О.В. Податковий механізм стимулювання інвестиційної діяльності промислових підприємств. – Рукопис.</w:t>
                  </w:r>
                </w:p>
                <w:p w14:paraId="42B74841" w14:textId="77777777" w:rsidR="007C4D0E" w:rsidRPr="007C4D0E" w:rsidRDefault="007C4D0E" w:rsidP="007C4D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D0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Приазовський державний технічний університет, Маріуполь, 2004.</w:t>
                  </w:r>
                </w:p>
                <w:p w14:paraId="0C5BCF1E" w14:textId="77777777" w:rsidR="007C4D0E" w:rsidRPr="007C4D0E" w:rsidRDefault="007C4D0E" w:rsidP="007C4D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D0E">
                    <w:rPr>
                      <w:rFonts w:ascii="Times New Roman" w:eastAsia="Times New Roman" w:hAnsi="Times New Roman" w:cs="Times New Roman"/>
                      <w:sz w:val="24"/>
                      <w:szCs w:val="24"/>
                    </w:rPr>
                    <w:t>В дисертації вирішено актуальну задачу підвищення ефективності податкового механізму стимулювання інвестиційної діяльності промислових підприємств.</w:t>
                  </w:r>
                </w:p>
                <w:p w14:paraId="39255BC9" w14:textId="77777777" w:rsidR="007C4D0E" w:rsidRPr="007C4D0E" w:rsidRDefault="007C4D0E" w:rsidP="007C4D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D0E">
                    <w:rPr>
                      <w:rFonts w:ascii="Times New Roman" w:eastAsia="Times New Roman" w:hAnsi="Times New Roman" w:cs="Times New Roman"/>
                      <w:sz w:val="24"/>
                      <w:szCs w:val="24"/>
                    </w:rPr>
                    <w:t>Досліджено концептуальні засади податкового стимулювання інвестиційної діяльності промислових підприємств. Визначено поняття та основні елементи податкового механізму управління діяльністю підприємств. Запропоновано поняття податкової стратегії підприємства та визначено її роль у формуванні податкового механізму управління діяльністю підприємства. Розглянуто основні форми оподаткування інвестиційної діяльності в Україні. Проаналізовано ефективність податкових пільг, що надаються в умовах СЕЗ та ТПР. Досліджено особливості впливу ставок оподаткування на ефективність роботи підприємств трьох галузей: металургії, машинобудування та транспорту. Розроблено систему оцінки податкового механізму управління діяльністю підприємства. Удосконалено механізм надання інвестиційного податкового кредиту на умовах зворотності, забезпеченості, цільового використання, запропоновано розмір надання, термін та порядок його повернення.</w:t>
                  </w:r>
                </w:p>
                <w:p w14:paraId="693EF619" w14:textId="77777777" w:rsidR="007C4D0E" w:rsidRPr="007C4D0E" w:rsidRDefault="007C4D0E" w:rsidP="007C4D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D0E">
                    <w:rPr>
                      <w:rFonts w:ascii="Times New Roman" w:eastAsia="Times New Roman" w:hAnsi="Times New Roman" w:cs="Times New Roman"/>
                      <w:sz w:val="24"/>
                      <w:szCs w:val="24"/>
                    </w:rPr>
                    <w:t>Удосконалено методику аналізу інвестиційних проектів з урахуванням податкової складової , що дозволяє отримати більш достовірну інформацію при прийнятті управлінських рішень в умовах СЕЗ та ТПР.</w:t>
                  </w:r>
                </w:p>
              </w:tc>
            </w:tr>
          </w:tbl>
          <w:p w14:paraId="13131C86" w14:textId="77777777" w:rsidR="007C4D0E" w:rsidRPr="007C4D0E" w:rsidRDefault="007C4D0E" w:rsidP="007C4D0E">
            <w:pPr>
              <w:spacing w:after="0" w:line="240" w:lineRule="auto"/>
              <w:rPr>
                <w:rFonts w:ascii="Times New Roman" w:eastAsia="Times New Roman" w:hAnsi="Times New Roman" w:cs="Times New Roman"/>
                <w:sz w:val="24"/>
                <w:szCs w:val="24"/>
              </w:rPr>
            </w:pPr>
          </w:p>
        </w:tc>
      </w:tr>
      <w:tr w:rsidR="007C4D0E" w:rsidRPr="007C4D0E" w14:paraId="0E33FC0B" w14:textId="77777777" w:rsidTr="007C4D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4D0E" w:rsidRPr="007C4D0E" w14:paraId="013A9A1B" w14:textId="77777777">
              <w:trPr>
                <w:tblCellSpacing w:w="0" w:type="dxa"/>
              </w:trPr>
              <w:tc>
                <w:tcPr>
                  <w:tcW w:w="0" w:type="auto"/>
                  <w:vAlign w:val="center"/>
                  <w:hideMark/>
                </w:tcPr>
                <w:p w14:paraId="4F8BDADB" w14:textId="77777777" w:rsidR="007C4D0E" w:rsidRPr="007C4D0E" w:rsidRDefault="007C4D0E" w:rsidP="007C4D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D0E">
                    <w:rPr>
                      <w:rFonts w:ascii="Times New Roman" w:eastAsia="Times New Roman" w:hAnsi="Times New Roman" w:cs="Times New Roman"/>
                      <w:sz w:val="24"/>
                      <w:szCs w:val="24"/>
                    </w:rPr>
                    <w:t>У дисертації вирішено важливу наукову задачу удосконалення податкового механізму стимулювання інвестиційної діяльності промислових підприємств. В результаті проведеного дослідження зроблено такі висновки:</w:t>
                  </w:r>
                </w:p>
                <w:p w14:paraId="4357DADA" w14:textId="77777777" w:rsidR="007C4D0E" w:rsidRPr="007C4D0E" w:rsidRDefault="007C4D0E" w:rsidP="007C4D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D0E">
                    <w:rPr>
                      <w:rFonts w:ascii="Times New Roman" w:eastAsia="Times New Roman" w:hAnsi="Times New Roman" w:cs="Times New Roman"/>
                      <w:sz w:val="24"/>
                      <w:szCs w:val="24"/>
                    </w:rPr>
                    <w:t>1. У сучасних умовах підвищується значення впливу держави на інвестиційну діяльність підприємств. Одним з основних засобів такого впливу є оподаткування. Однак в Україні податкові методи регулювання економіки використовуються недостатньо ефективно, податкова система не виконує регулюючої (стимулюючої) ролі в достатньому обсязі. Теоретичні дослідження дозволили встановити, що податки мають вплив як на попит, так і на пропозицію інвестиційних ресурсів. За цією ознакою вони можуть бути поділені на дві групи: податки, що збільшують витрати на інвестиційну діяльність, та податки, що впливають на розмір ресурсів, які можуть бути інвестовані у виробництво. Цей підхід дозволяє визначити сукупність інструментів та методів впливу на інвестиційну активність промислових підприємств, що їх необхідно застосовувати на даному етапі розвитку економіки.</w:t>
                  </w:r>
                </w:p>
                <w:p w14:paraId="1C73A820" w14:textId="77777777" w:rsidR="007C4D0E" w:rsidRPr="007C4D0E" w:rsidRDefault="007C4D0E" w:rsidP="007C4D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D0E">
                    <w:rPr>
                      <w:rFonts w:ascii="Times New Roman" w:eastAsia="Times New Roman" w:hAnsi="Times New Roman" w:cs="Times New Roman"/>
                      <w:sz w:val="24"/>
                      <w:szCs w:val="24"/>
                    </w:rPr>
                    <w:t>2. Інвестиційна активність підприємств регулюється не тільки податковим механізмом управління економікою країни, а також податковим механізмом управління діяльністю підприємства, що являє собою сукупність засобів і методів впливу на економічну діяльність підприємства, визначається діючим податковим законодавством та розробляється відповідно до податкової стратегії підприємства.</w:t>
                  </w:r>
                </w:p>
                <w:p w14:paraId="1C059FAE" w14:textId="77777777" w:rsidR="007C4D0E" w:rsidRPr="007C4D0E" w:rsidRDefault="007C4D0E" w:rsidP="007C4D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D0E">
                    <w:rPr>
                      <w:rFonts w:ascii="Times New Roman" w:eastAsia="Times New Roman" w:hAnsi="Times New Roman" w:cs="Times New Roman"/>
                      <w:sz w:val="24"/>
                      <w:szCs w:val="24"/>
                    </w:rPr>
                    <w:lastRenderedPageBreak/>
                    <w:t>Податкова стратегія підприємства, на думку автора, – це узагальнена модель його поведінки в рамках діючого податкового законодавства, що забезпечує підвищення ефективності діяльності підприємства шляхом оптимізації податкових платежів. Використання запропонованих термінів дозволяє розкрити сутність впливу оподаткування на процес управління підприємством, у тому числі, його інвестиційною діяльністю</w:t>
                  </w:r>
                  <w:r w:rsidRPr="007C4D0E">
                    <w:rPr>
                      <w:rFonts w:ascii="Times New Roman" w:eastAsia="Times New Roman" w:hAnsi="Times New Roman" w:cs="Times New Roman"/>
                      <w:i/>
                      <w:iCs/>
                      <w:sz w:val="24"/>
                      <w:szCs w:val="24"/>
                    </w:rPr>
                    <w:t>.</w:t>
                  </w:r>
                </w:p>
                <w:p w14:paraId="1ECB97B3" w14:textId="77777777" w:rsidR="007C4D0E" w:rsidRPr="007C4D0E" w:rsidRDefault="007C4D0E" w:rsidP="007C4D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D0E">
                    <w:rPr>
                      <w:rFonts w:ascii="Times New Roman" w:eastAsia="Times New Roman" w:hAnsi="Times New Roman" w:cs="Times New Roman"/>
                      <w:sz w:val="24"/>
                      <w:szCs w:val="24"/>
                    </w:rPr>
                    <w:t>3. Для оцінки податкового механізму управління діяльністю підприємства запропоновано використання системи показників, що включає три підсистеми: узагальнюючі показники рівня податкового тиску, локальні показники рівня податкового тиску та показники ефективності податкового менеджменту. Це дає змогу виявляти переваги та недоліки податкового механізму на мікрорівні та приймати обґрунтовані управлінські рішення, в тому числі, стосовно вибору пільгового режиму оподаткування інвестиційної діяльності.</w:t>
                  </w:r>
                </w:p>
                <w:p w14:paraId="03877E6E" w14:textId="77777777" w:rsidR="007C4D0E" w:rsidRPr="007C4D0E" w:rsidRDefault="007C4D0E" w:rsidP="007C4D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D0E">
                    <w:rPr>
                      <w:rFonts w:ascii="Times New Roman" w:eastAsia="Times New Roman" w:hAnsi="Times New Roman" w:cs="Times New Roman"/>
                      <w:sz w:val="24"/>
                      <w:szCs w:val="24"/>
                    </w:rPr>
                    <w:t>4. Серед існуючих в Україні форм податкового стимулювання інвестиційної діяльності на особливу увагу заслуговують результати роботи підприємств в умовах СЕЗ і ТПР, що розглядаються як результати експерименту щодо зміни умов оподаткування підприємств. Виокремлення двох режимів пільгового оподаткування інвестиційної діяльності та застосування спеціально розроблених відносних показників оцінки ефективності спеціального режиму інвестиційної діяльності дозволило встановити, що надання „податкових канікул” підприємствам є значно ефективнішим, ніж зменшення ставки податку на прибуток.</w:t>
                  </w:r>
                </w:p>
                <w:p w14:paraId="0009F19F" w14:textId="77777777" w:rsidR="007C4D0E" w:rsidRPr="007C4D0E" w:rsidRDefault="007C4D0E" w:rsidP="007C4D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D0E">
                    <w:rPr>
                      <w:rFonts w:ascii="Times New Roman" w:eastAsia="Times New Roman" w:hAnsi="Times New Roman" w:cs="Times New Roman"/>
                      <w:sz w:val="24"/>
                      <w:szCs w:val="24"/>
                    </w:rPr>
                    <w:t>5. Економічний ефект від надання податкових пільг значною мірою залежить від галузевих особливостей підприємств (частки експорту продукції, трудомісткості виробництва, рентабельності продажу). Це зумовлено тим, що зміна ставок різних податків для підприємств різних галузей призводить до різних наслідків. Для їх прогнозування розроблено та застосовано математичну модель оцінки впливу податків на результати діяльності підприємства, що дозволило встановити, що ефект від зниження ставки податку на прибуток буде більшим для підприємств галузей з високим рівнем рентабельності продажу. Податки, що нараховуються на фонд оплати праці, мають значний вплив на ефективність діяльності підприємств зі значною часткою витрат на оплату праці в витратах виробництва.</w:t>
                  </w:r>
                </w:p>
                <w:p w14:paraId="188701F5" w14:textId="77777777" w:rsidR="007C4D0E" w:rsidRPr="007C4D0E" w:rsidRDefault="007C4D0E" w:rsidP="004B1B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4D0E">
                    <w:rPr>
                      <w:rFonts w:ascii="Times New Roman" w:eastAsia="Times New Roman" w:hAnsi="Times New Roman" w:cs="Times New Roman"/>
                      <w:sz w:val="24"/>
                      <w:szCs w:val="24"/>
                    </w:rPr>
                    <w:t>Для досягнення збалансованого поєднання стимулюючої та фіскальної функції податків в Україні запропоновано застосовувати існуючий світовий досвід надання промисловим підприємствам інвестиційного податкового кредиту. Враховуючи встановлену відмінність чутливості результатів роботи підприємств до зміни різних видів податків, запропоновано умови та розмір надання інвестиційного податкового кредиту, термін та порядок його повернення.</w:t>
                  </w:r>
                </w:p>
                <w:p w14:paraId="0E62D964" w14:textId="77777777" w:rsidR="007C4D0E" w:rsidRPr="007C4D0E" w:rsidRDefault="007C4D0E" w:rsidP="007C4D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D0E">
                    <w:rPr>
                      <w:rFonts w:ascii="Times New Roman" w:eastAsia="Times New Roman" w:hAnsi="Times New Roman" w:cs="Times New Roman"/>
                      <w:sz w:val="24"/>
                      <w:szCs w:val="24"/>
                    </w:rPr>
                    <w:t>7. Важливого значення в сучасних умовах набуває підвищення достовірності аналізу ефективності інвестиційних проектів в умовах режиму пільгового оподаткування. Для вирішення цієї задачі автором розроблено пропозиції щодо удосконалення методики аналізу інвестиційних проектів в умовах СЕЗ та ТПР, що базуються на врахуванні податкового фактору у сумі початкових витрат та майбутніх доходів і показників оцінки ефективності податкових пільг.</w:t>
                  </w:r>
                </w:p>
              </w:tc>
            </w:tr>
          </w:tbl>
          <w:p w14:paraId="4036B7BF" w14:textId="77777777" w:rsidR="007C4D0E" w:rsidRPr="007C4D0E" w:rsidRDefault="007C4D0E" w:rsidP="007C4D0E">
            <w:pPr>
              <w:spacing w:after="0" w:line="240" w:lineRule="auto"/>
              <w:rPr>
                <w:rFonts w:ascii="Times New Roman" w:eastAsia="Times New Roman" w:hAnsi="Times New Roman" w:cs="Times New Roman"/>
                <w:sz w:val="24"/>
                <w:szCs w:val="24"/>
              </w:rPr>
            </w:pPr>
          </w:p>
        </w:tc>
      </w:tr>
    </w:tbl>
    <w:p w14:paraId="7D629CF9" w14:textId="77777777" w:rsidR="007C4D0E" w:rsidRPr="007C4D0E" w:rsidRDefault="007C4D0E" w:rsidP="007C4D0E"/>
    <w:sectPr w:rsidR="007C4D0E" w:rsidRPr="007C4D0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1D7C" w14:textId="77777777" w:rsidR="004B1BE1" w:rsidRDefault="004B1BE1">
      <w:pPr>
        <w:spacing w:after="0" w:line="240" w:lineRule="auto"/>
      </w:pPr>
      <w:r>
        <w:separator/>
      </w:r>
    </w:p>
  </w:endnote>
  <w:endnote w:type="continuationSeparator" w:id="0">
    <w:p w14:paraId="376F4EDE" w14:textId="77777777" w:rsidR="004B1BE1" w:rsidRDefault="004B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717D5" w14:textId="77777777" w:rsidR="004B1BE1" w:rsidRDefault="004B1BE1">
      <w:pPr>
        <w:spacing w:after="0" w:line="240" w:lineRule="auto"/>
      </w:pPr>
      <w:r>
        <w:separator/>
      </w:r>
    </w:p>
  </w:footnote>
  <w:footnote w:type="continuationSeparator" w:id="0">
    <w:p w14:paraId="349B3FB7" w14:textId="77777777" w:rsidR="004B1BE1" w:rsidRDefault="004B1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B1B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0655A"/>
    <w:multiLevelType w:val="multilevel"/>
    <w:tmpl w:val="1026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BE1"/>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81718</TotalTime>
  <Pages>3</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2301</cp:revision>
  <dcterms:created xsi:type="dcterms:W3CDTF">2024-06-20T08:51:00Z</dcterms:created>
  <dcterms:modified xsi:type="dcterms:W3CDTF">2024-09-14T19:31:00Z</dcterms:modified>
  <cp:category/>
</cp:coreProperties>
</file>