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17AD" w14:textId="77777777" w:rsidR="00D72FA0" w:rsidRDefault="00D72FA0" w:rsidP="00D72FA0">
      <w:pPr>
        <w:pStyle w:val="210"/>
        <w:shd w:val="clear" w:color="auto" w:fill="auto"/>
        <w:ind w:left="20"/>
      </w:pPr>
      <w:r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11C5F8A1" w14:textId="77777777" w:rsidR="00D72FA0" w:rsidRDefault="00D72FA0" w:rsidP="00D72FA0">
      <w:pPr>
        <w:pStyle w:val="210"/>
        <w:shd w:val="clear" w:color="auto" w:fill="auto"/>
        <w:ind w:left="20"/>
      </w:pPr>
      <w:r>
        <w:rPr>
          <w:rStyle w:val="21"/>
          <w:color w:val="000000"/>
        </w:rPr>
        <w:t>высшего образования</w:t>
      </w:r>
    </w:p>
    <w:p w14:paraId="72DFF57A" w14:textId="77777777" w:rsidR="00D72FA0" w:rsidRDefault="00D72FA0" w:rsidP="00D72FA0">
      <w:pPr>
        <w:pStyle w:val="210"/>
        <w:shd w:val="clear" w:color="auto" w:fill="auto"/>
        <w:spacing w:after="1000"/>
        <w:ind w:left="20"/>
      </w:pPr>
      <w:r>
        <w:rPr>
          <w:rStyle w:val="21"/>
          <w:color w:val="000000"/>
        </w:rPr>
        <w:t>«Саратовская государственная юридическая академия»</w:t>
      </w:r>
    </w:p>
    <w:p w14:paraId="14D943FB" w14:textId="77777777" w:rsidR="00D72FA0" w:rsidRDefault="00D72FA0" w:rsidP="00D72FA0">
      <w:pPr>
        <w:pStyle w:val="30"/>
        <w:shd w:val="clear" w:color="auto" w:fill="auto"/>
        <w:spacing w:before="0" w:after="1728" w:line="280" w:lineRule="exact"/>
      </w:pPr>
      <w:r>
        <w:rPr>
          <w:rStyle w:val="3"/>
          <w:i/>
          <w:iCs/>
          <w:color w:val="000000"/>
        </w:rPr>
        <w:t>На правах рукописи</w:t>
      </w:r>
    </w:p>
    <w:p w14:paraId="6E11B4FE" w14:textId="77777777" w:rsidR="00D72FA0" w:rsidRDefault="00D72FA0" w:rsidP="00D72FA0">
      <w:pPr>
        <w:pStyle w:val="15"/>
        <w:keepNext/>
        <w:keepLines/>
        <w:shd w:val="clear" w:color="auto" w:fill="auto"/>
        <w:spacing w:after="892" w:line="260" w:lineRule="exact"/>
        <w:ind w:left="20"/>
      </w:pPr>
      <w:bookmarkStart w:id="0" w:name="bookmark0"/>
      <w:r>
        <w:rPr>
          <w:rStyle w:val="14"/>
          <w:color w:val="000000"/>
        </w:rPr>
        <w:t>ЛУКОНИНА ЮЛИЯ АНДРЕЕВНА</w:t>
      </w:r>
      <w:bookmarkEnd w:id="0"/>
    </w:p>
    <w:p w14:paraId="3859790C" w14:textId="77777777" w:rsidR="00D72FA0" w:rsidRDefault="00D72FA0" w:rsidP="00D72FA0">
      <w:pPr>
        <w:pStyle w:val="15"/>
        <w:keepNext/>
        <w:keepLines/>
        <w:shd w:val="clear" w:color="auto" w:fill="auto"/>
        <w:spacing w:line="485" w:lineRule="exact"/>
        <w:ind w:left="20"/>
      </w:pPr>
      <w:bookmarkStart w:id="1" w:name="bookmark1"/>
      <w:r>
        <w:rPr>
          <w:rStyle w:val="14"/>
          <w:color w:val="000000"/>
        </w:rPr>
        <w:t>ЦИФРОВАЯ ЦИВИЛИСТИЧЕСКАЯ ПРОЦЕССУАЛЬНАЯ ФОРМА:</w:t>
      </w:r>
      <w:r>
        <w:rPr>
          <w:rStyle w:val="14"/>
          <w:color w:val="000000"/>
        </w:rPr>
        <w:br/>
        <w:t>ТЕОРЕТИКО-ПРИКЛАДНЫЕ АСПЕКТЫ</w:t>
      </w:r>
      <w:bookmarkEnd w:id="1"/>
    </w:p>
    <w:p w14:paraId="5B85961A" w14:textId="77777777" w:rsidR="00D72FA0" w:rsidRDefault="00D72FA0" w:rsidP="006A18E5">
      <w:pPr>
        <w:pStyle w:val="210"/>
        <w:numPr>
          <w:ilvl w:val="0"/>
          <w:numId w:val="1"/>
        </w:numPr>
        <w:shd w:val="clear" w:color="auto" w:fill="auto"/>
        <w:tabs>
          <w:tab w:val="left" w:pos="2386"/>
        </w:tabs>
        <w:spacing w:before="0" w:after="647" w:line="260" w:lineRule="exact"/>
        <w:ind w:left="1600"/>
        <w:jc w:val="both"/>
      </w:pPr>
      <w:r>
        <w:rPr>
          <w:rStyle w:val="21"/>
          <w:color w:val="000000"/>
        </w:rPr>
        <w:t>Частно-правовые (цивилистические) науки</w:t>
      </w:r>
    </w:p>
    <w:p w14:paraId="2EDC4DFF" w14:textId="77777777" w:rsidR="00D72FA0" w:rsidRDefault="00D72FA0" w:rsidP="00D72FA0">
      <w:pPr>
        <w:pStyle w:val="210"/>
        <w:shd w:val="clear" w:color="auto" w:fill="auto"/>
        <w:spacing w:line="260" w:lineRule="exact"/>
        <w:ind w:left="20"/>
      </w:pPr>
      <w:r>
        <w:rPr>
          <w:rStyle w:val="21"/>
          <w:color w:val="000000"/>
        </w:rPr>
        <w:t>Диссертация</w:t>
      </w:r>
    </w:p>
    <w:p w14:paraId="54A8EE5A" w14:textId="77777777" w:rsidR="00D72FA0" w:rsidRDefault="00D72FA0" w:rsidP="00D72FA0">
      <w:pPr>
        <w:pStyle w:val="210"/>
        <w:shd w:val="clear" w:color="auto" w:fill="auto"/>
        <w:spacing w:after="1558" w:line="260" w:lineRule="exact"/>
        <w:ind w:left="20"/>
      </w:pPr>
      <w:r>
        <w:rPr>
          <w:rStyle w:val="21"/>
          <w:color w:val="000000"/>
        </w:rPr>
        <w:t>на соискание ученой степени кандидата юридических наук</w:t>
      </w:r>
    </w:p>
    <w:p w14:paraId="6FCCCDCE" w14:textId="77777777" w:rsidR="00D72FA0" w:rsidRDefault="00D72FA0" w:rsidP="00D72FA0">
      <w:pPr>
        <w:pStyle w:val="210"/>
        <w:shd w:val="clear" w:color="auto" w:fill="auto"/>
        <w:spacing w:after="1369" w:line="322" w:lineRule="exact"/>
        <w:ind w:left="4660" w:right="740"/>
        <w:jc w:val="left"/>
      </w:pPr>
      <w:r>
        <w:rPr>
          <w:rStyle w:val="21"/>
          <w:color w:val="000000"/>
        </w:rPr>
        <w:t>Научный руководитель: доктор юридических наук, доцент Воронцова Ирина Викторовна</w:t>
      </w:r>
    </w:p>
    <w:p w14:paraId="1F00533F" w14:textId="77777777" w:rsidR="00D72FA0" w:rsidRDefault="00D72FA0" w:rsidP="00D72FA0">
      <w:pPr>
        <w:pStyle w:val="210"/>
        <w:shd w:val="clear" w:color="auto" w:fill="auto"/>
        <w:spacing w:line="260" w:lineRule="exact"/>
        <w:ind w:left="20"/>
      </w:pPr>
      <w:r>
        <w:rPr>
          <w:rStyle w:val="21"/>
          <w:color w:val="000000"/>
        </w:rPr>
        <w:lastRenderedPageBreak/>
        <w:t>Саратов - 2023</w:t>
      </w:r>
    </w:p>
    <w:p w14:paraId="6A8651A7" w14:textId="77777777" w:rsidR="00D72FA0" w:rsidRDefault="00D72FA0" w:rsidP="00D72FA0">
      <w:pPr>
        <w:pStyle w:val="17"/>
        <w:tabs>
          <w:tab w:val="right" w:leader="dot" w:pos="9931"/>
        </w:tabs>
        <w:spacing w:after="236" w:line="26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19"/>
          <w:color w:val="000000"/>
        </w:rPr>
        <w:t>ВВЕДЕНИЕ</w:t>
      </w:r>
      <w:r>
        <w:rPr>
          <w:rStyle w:val="19"/>
          <w:color w:val="000000"/>
        </w:rPr>
        <w:tab/>
        <w:t>4</w:t>
      </w:r>
    </w:p>
    <w:p w14:paraId="3DF77598" w14:textId="77777777" w:rsidR="00D72FA0" w:rsidRDefault="00D72FA0" w:rsidP="00D72FA0">
      <w:pPr>
        <w:pStyle w:val="17"/>
        <w:tabs>
          <w:tab w:val="right" w:leader="dot" w:pos="9931"/>
        </w:tabs>
        <w:spacing w:after="180" w:line="480" w:lineRule="exact"/>
      </w:pPr>
      <w:r>
        <w:rPr>
          <w:rStyle w:val="19"/>
          <w:color w:val="000000"/>
        </w:rPr>
        <w:t>ГЛАВА 1. ТЕОРЕТИКО-ПРАВОВЫЕ ОСНОВЫ ОСУЩЕСТВЛЕНИЯ ПРОЦЕССУАЛЬНОЙ ДЕЯТЕЛЬНОСТИ ПО ГРАЖДАНСКИМ, АДМИНИСТРАТИВНЫМ ДЕЛАМ И ЭКОНОМИЧЕСКИМ СПОРАМ</w:t>
      </w:r>
      <w:r>
        <w:rPr>
          <w:rStyle w:val="19"/>
          <w:color w:val="000000"/>
        </w:rPr>
        <w:tab/>
        <w:t>18</w:t>
      </w:r>
    </w:p>
    <w:p w14:paraId="596720B5" w14:textId="77777777" w:rsidR="00D72FA0" w:rsidRDefault="00D72FA0" w:rsidP="006A18E5">
      <w:pPr>
        <w:pStyle w:val="17"/>
        <w:widowControl w:val="0"/>
        <w:numPr>
          <w:ilvl w:val="0"/>
          <w:numId w:val="3"/>
        </w:numPr>
        <w:tabs>
          <w:tab w:val="left" w:pos="1478"/>
        </w:tabs>
        <w:spacing w:after="0" w:line="480" w:lineRule="exact"/>
        <w:ind w:left="900"/>
        <w:jc w:val="both"/>
      </w:pPr>
      <w:hyperlink w:anchor="bookmark6" w:tooltip="Current Document" w:history="1">
        <w:r>
          <w:rPr>
            <w:rStyle w:val="19"/>
            <w:color w:val="000000"/>
          </w:rPr>
          <w:t>Дефиниция, сущность и значение цивилистической процессуальной</w:t>
        </w:r>
      </w:hyperlink>
    </w:p>
    <w:p w14:paraId="645EAD72" w14:textId="77777777" w:rsidR="00D72FA0" w:rsidRDefault="00D72FA0" w:rsidP="00D72FA0">
      <w:pPr>
        <w:pStyle w:val="17"/>
        <w:tabs>
          <w:tab w:val="right" w:leader="dot" w:pos="9931"/>
        </w:tabs>
        <w:spacing w:after="172" w:line="480" w:lineRule="exact"/>
        <w:ind w:left="900"/>
      </w:pPr>
      <w:r>
        <w:rPr>
          <w:rStyle w:val="19"/>
          <w:color w:val="000000"/>
        </w:rPr>
        <w:t>формы в системе мер правовой защиты</w:t>
      </w:r>
      <w:r>
        <w:rPr>
          <w:rStyle w:val="19"/>
          <w:color w:val="000000"/>
        </w:rPr>
        <w:tab/>
        <w:t>18</w:t>
      </w:r>
    </w:p>
    <w:p w14:paraId="1F30EB9F" w14:textId="77777777" w:rsidR="00D72FA0" w:rsidRDefault="00D72FA0" w:rsidP="006A18E5">
      <w:pPr>
        <w:pStyle w:val="17"/>
        <w:widowControl w:val="0"/>
        <w:numPr>
          <w:ilvl w:val="0"/>
          <w:numId w:val="3"/>
        </w:numPr>
        <w:tabs>
          <w:tab w:val="left" w:pos="1478"/>
        </w:tabs>
        <w:spacing w:after="0" w:line="490" w:lineRule="exact"/>
        <w:ind w:left="900"/>
        <w:jc w:val="both"/>
      </w:pPr>
      <w:hyperlink w:anchor="bookmark8" w:tooltip="Current Document" w:history="1">
        <w:r>
          <w:rPr>
            <w:rStyle w:val="19"/>
            <w:color w:val="000000"/>
          </w:rPr>
          <w:t>Понятие цифровой цивилистической процессуальной формы и ее</w:t>
        </w:r>
      </w:hyperlink>
    </w:p>
    <w:p w14:paraId="32CBFA3F" w14:textId="77777777" w:rsidR="00D72FA0" w:rsidRDefault="00D72FA0" w:rsidP="00D72FA0">
      <w:pPr>
        <w:pStyle w:val="17"/>
        <w:tabs>
          <w:tab w:val="right" w:leader="dot" w:pos="9931"/>
        </w:tabs>
        <w:spacing w:after="184" w:line="490" w:lineRule="exact"/>
        <w:ind w:left="900"/>
      </w:pPr>
      <w:hyperlink w:anchor="bookmark10" w:tooltip="Current Document" w:history="1">
        <w:r>
          <w:rPr>
            <w:rStyle w:val="19"/>
            <w:color w:val="000000"/>
          </w:rPr>
          <w:t>процессуально-правовое значение</w:t>
        </w:r>
        <w:r>
          <w:rPr>
            <w:rStyle w:val="19"/>
            <w:color w:val="000000"/>
          </w:rPr>
          <w:tab/>
          <w:t>31</w:t>
        </w:r>
      </w:hyperlink>
    </w:p>
    <w:p w14:paraId="564C014D" w14:textId="77777777" w:rsidR="00D72FA0" w:rsidRDefault="00D72FA0" w:rsidP="006A18E5">
      <w:pPr>
        <w:pStyle w:val="17"/>
        <w:widowControl w:val="0"/>
        <w:numPr>
          <w:ilvl w:val="0"/>
          <w:numId w:val="3"/>
        </w:numPr>
        <w:tabs>
          <w:tab w:val="left" w:pos="1478"/>
        </w:tabs>
        <w:spacing w:after="0" w:line="485" w:lineRule="exact"/>
        <w:ind w:left="900"/>
        <w:jc w:val="both"/>
      </w:pPr>
      <w:hyperlink w:anchor="bookmark11" w:tooltip="Current Document" w:history="1">
        <w:r>
          <w:rPr>
            <w:rStyle w:val="19"/>
            <w:color w:val="000000"/>
          </w:rPr>
          <w:t>Признаки цивилистической процессуальной формы в условиях</w:t>
        </w:r>
      </w:hyperlink>
    </w:p>
    <w:p w14:paraId="3CDACC93" w14:textId="77777777" w:rsidR="00D72FA0" w:rsidRDefault="00D72FA0" w:rsidP="00D72FA0">
      <w:pPr>
        <w:pStyle w:val="17"/>
        <w:tabs>
          <w:tab w:val="right" w:leader="dot" w:pos="9931"/>
        </w:tabs>
        <w:spacing w:after="184" w:line="485" w:lineRule="exact"/>
        <w:ind w:left="900"/>
      </w:pPr>
      <w:r>
        <w:rPr>
          <w:rStyle w:val="19"/>
          <w:color w:val="000000"/>
        </w:rPr>
        <w:t>цифровизации правосудия</w:t>
      </w:r>
      <w:r>
        <w:rPr>
          <w:rStyle w:val="19"/>
          <w:color w:val="000000"/>
        </w:rPr>
        <w:tab/>
        <w:t>48</w:t>
      </w:r>
    </w:p>
    <w:p w14:paraId="30E708EE" w14:textId="77777777" w:rsidR="00D72FA0" w:rsidRDefault="00D72FA0" w:rsidP="006A18E5">
      <w:pPr>
        <w:pStyle w:val="17"/>
        <w:widowControl w:val="0"/>
        <w:numPr>
          <w:ilvl w:val="0"/>
          <w:numId w:val="3"/>
        </w:numPr>
        <w:tabs>
          <w:tab w:val="left" w:pos="1478"/>
        </w:tabs>
        <w:spacing w:after="0" w:line="480" w:lineRule="exact"/>
        <w:ind w:left="900"/>
        <w:jc w:val="both"/>
      </w:pPr>
      <w:hyperlink w:anchor="bookmark13" w:tooltip="Current Document" w:history="1">
        <w:r>
          <w:rPr>
            <w:rStyle w:val="19"/>
            <w:color w:val="000000"/>
          </w:rPr>
          <w:t>Детерминизм цифровой процессуальной формы и руководящих</w:t>
        </w:r>
      </w:hyperlink>
    </w:p>
    <w:p w14:paraId="2A4E7106" w14:textId="77777777" w:rsidR="00D72FA0" w:rsidRDefault="00D72FA0" w:rsidP="00D72FA0">
      <w:pPr>
        <w:pStyle w:val="17"/>
        <w:tabs>
          <w:tab w:val="right" w:leader="dot" w:pos="9931"/>
        </w:tabs>
        <w:spacing w:after="180" w:line="480" w:lineRule="exact"/>
        <w:ind w:left="900"/>
      </w:pPr>
      <w:r>
        <w:rPr>
          <w:rStyle w:val="19"/>
          <w:color w:val="000000"/>
        </w:rPr>
        <w:t>положений цивилистического процесса</w:t>
      </w:r>
      <w:r>
        <w:rPr>
          <w:rStyle w:val="19"/>
          <w:color w:val="000000"/>
        </w:rPr>
        <w:tab/>
        <w:t>74</w:t>
      </w:r>
    </w:p>
    <w:p w14:paraId="1E52AF80" w14:textId="77777777" w:rsidR="00D72FA0" w:rsidRDefault="00D72FA0" w:rsidP="00D72FA0">
      <w:pPr>
        <w:pStyle w:val="17"/>
        <w:tabs>
          <w:tab w:val="right" w:leader="dot" w:pos="9931"/>
        </w:tabs>
        <w:spacing w:after="180" w:line="480" w:lineRule="exact"/>
      </w:pPr>
      <w:r>
        <w:rPr>
          <w:rStyle w:val="19"/>
          <w:color w:val="000000"/>
        </w:rPr>
        <w:t>ГЛАВА 2. ПРАВОВАЯ РЕГЛАМЕНТАЦИЯ ИНФОРМАЦИОННОГО ОБЕСПЕЧЕНИЯ СУДЕБНОЙ ВЛАСТИ СКВОЗЬ ПРИЗМУ ЦИФРОВОЙ ЦИВИЛИСТИЧЕСКОЙ ПРОЦЕССУАЛЬНОЙ ФОРМЫ</w:t>
      </w:r>
      <w:r>
        <w:rPr>
          <w:rStyle w:val="19"/>
          <w:color w:val="000000"/>
        </w:rPr>
        <w:tab/>
        <w:t>92</w:t>
      </w:r>
    </w:p>
    <w:p w14:paraId="65237D71" w14:textId="77777777" w:rsidR="00D72FA0" w:rsidRDefault="00D72FA0" w:rsidP="006A18E5">
      <w:pPr>
        <w:pStyle w:val="17"/>
        <w:widowControl w:val="0"/>
        <w:numPr>
          <w:ilvl w:val="0"/>
          <w:numId w:val="2"/>
        </w:numPr>
        <w:tabs>
          <w:tab w:val="left" w:pos="1489"/>
        </w:tabs>
        <w:spacing w:after="0" w:line="480" w:lineRule="exact"/>
        <w:ind w:left="900"/>
        <w:jc w:val="both"/>
      </w:pPr>
      <w:hyperlink w:anchor="bookmark17" w:tooltip="Current Document" w:history="1">
        <w:r>
          <w:rPr>
            <w:rStyle w:val="19"/>
            <w:color w:val="000000"/>
          </w:rPr>
          <w:t>Процессуально-правовые тенденции применения технологий нового</w:t>
        </w:r>
      </w:hyperlink>
    </w:p>
    <w:p w14:paraId="1D903DE1" w14:textId="77777777" w:rsidR="00D72FA0" w:rsidRDefault="00D72FA0" w:rsidP="00D72FA0">
      <w:pPr>
        <w:pStyle w:val="17"/>
        <w:tabs>
          <w:tab w:val="right" w:leader="dot" w:pos="9931"/>
        </w:tabs>
        <w:spacing w:after="180" w:line="480" w:lineRule="exact"/>
        <w:ind w:left="900"/>
      </w:pPr>
      <w:hyperlink w:anchor="bookmark19" w:tooltip="Current Document" w:history="1">
        <w:r>
          <w:rPr>
            <w:rStyle w:val="19"/>
            <w:color w:val="000000"/>
          </w:rPr>
          <w:t>поколения в суде первой инстанции</w:t>
        </w:r>
        <w:r>
          <w:rPr>
            <w:rStyle w:val="19"/>
            <w:color w:val="000000"/>
          </w:rPr>
          <w:tab/>
          <w:t>92</w:t>
        </w:r>
      </w:hyperlink>
    </w:p>
    <w:p w14:paraId="41A2B4CF" w14:textId="77777777" w:rsidR="00D72FA0" w:rsidRDefault="00D72FA0" w:rsidP="006A18E5">
      <w:pPr>
        <w:pStyle w:val="17"/>
        <w:widowControl w:val="0"/>
        <w:numPr>
          <w:ilvl w:val="0"/>
          <w:numId w:val="2"/>
        </w:numPr>
        <w:tabs>
          <w:tab w:val="left" w:pos="1489"/>
        </w:tabs>
        <w:spacing w:after="0" w:line="480" w:lineRule="exact"/>
        <w:ind w:left="900"/>
        <w:jc w:val="both"/>
      </w:pPr>
      <w:hyperlink w:anchor="bookmark20" w:tooltip="Current Document" w:history="1">
        <w:r>
          <w:rPr>
            <w:rStyle w:val="19"/>
            <w:color w:val="000000"/>
          </w:rPr>
          <w:t>Правовое поле использования цифровых технологий при пересмотре</w:t>
        </w:r>
      </w:hyperlink>
    </w:p>
    <w:p w14:paraId="19FF3B66" w14:textId="77777777" w:rsidR="00D72FA0" w:rsidRDefault="00D72FA0" w:rsidP="00D72FA0">
      <w:pPr>
        <w:pStyle w:val="17"/>
        <w:tabs>
          <w:tab w:val="right" w:leader="dot" w:pos="9931"/>
        </w:tabs>
        <w:spacing w:after="176" w:line="480" w:lineRule="exact"/>
        <w:ind w:left="900"/>
      </w:pPr>
      <w:hyperlink w:anchor="bookmark22" w:tooltip="Current Document" w:history="1">
        <w:r>
          <w:rPr>
            <w:rStyle w:val="19"/>
            <w:color w:val="000000"/>
          </w:rPr>
          <w:t>судебных постановлений и актов</w:t>
        </w:r>
        <w:r>
          <w:rPr>
            <w:rStyle w:val="19"/>
            <w:color w:val="000000"/>
          </w:rPr>
          <w:tab/>
          <w:t>129</w:t>
        </w:r>
      </w:hyperlink>
    </w:p>
    <w:p w14:paraId="6F96757E" w14:textId="77777777" w:rsidR="00D72FA0" w:rsidRDefault="00D72FA0" w:rsidP="006A18E5">
      <w:pPr>
        <w:pStyle w:val="17"/>
        <w:widowControl w:val="0"/>
        <w:numPr>
          <w:ilvl w:val="0"/>
          <w:numId w:val="2"/>
        </w:numPr>
        <w:tabs>
          <w:tab w:val="left" w:pos="1489"/>
        </w:tabs>
        <w:spacing w:after="0" w:line="485" w:lineRule="exact"/>
        <w:ind w:left="900"/>
        <w:jc w:val="both"/>
      </w:pPr>
      <w:hyperlink w:anchor="bookmark23" w:tooltip="Current Document" w:history="1">
        <w:r>
          <w:rPr>
            <w:rStyle w:val="19"/>
            <w:color w:val="000000"/>
          </w:rPr>
          <w:t>Диверсификация перечня средств доказывания как одна из</w:t>
        </w:r>
      </w:hyperlink>
    </w:p>
    <w:p w14:paraId="7A2660E0" w14:textId="77777777" w:rsidR="00D72FA0" w:rsidRDefault="00D72FA0" w:rsidP="00D72FA0">
      <w:pPr>
        <w:pStyle w:val="17"/>
        <w:tabs>
          <w:tab w:val="right" w:leader="dot" w:pos="9931"/>
        </w:tabs>
        <w:spacing w:after="184" w:line="485" w:lineRule="exact"/>
        <w:ind w:left="900"/>
      </w:pPr>
      <w:r>
        <w:rPr>
          <w:rStyle w:val="19"/>
          <w:color w:val="000000"/>
        </w:rPr>
        <w:t>консеквенций цифровизации доказательственного процесса</w:t>
      </w:r>
      <w:r>
        <w:rPr>
          <w:rStyle w:val="19"/>
          <w:color w:val="000000"/>
        </w:rPr>
        <w:tab/>
        <w:t>156</w:t>
      </w:r>
    </w:p>
    <w:p w14:paraId="2D5F6631" w14:textId="77777777" w:rsidR="00D72FA0" w:rsidRDefault="00D72FA0" w:rsidP="006A18E5">
      <w:pPr>
        <w:pStyle w:val="17"/>
        <w:widowControl w:val="0"/>
        <w:numPr>
          <w:ilvl w:val="0"/>
          <w:numId w:val="2"/>
        </w:numPr>
        <w:tabs>
          <w:tab w:val="left" w:pos="1489"/>
        </w:tabs>
        <w:spacing w:after="0" w:line="480" w:lineRule="exact"/>
        <w:ind w:left="900"/>
        <w:jc w:val="both"/>
      </w:pPr>
      <w:hyperlink w:anchor="bookmark25" w:tooltip="Current Document" w:history="1">
        <w:r>
          <w:rPr>
            <w:rStyle w:val="19"/>
            <w:color w:val="000000"/>
          </w:rPr>
          <w:t>Искусственный интеллект и его право на жизнь при отправлении</w:t>
        </w:r>
      </w:hyperlink>
    </w:p>
    <w:p w14:paraId="3FE0202C" w14:textId="77777777" w:rsidR="00D72FA0" w:rsidRDefault="00D72FA0" w:rsidP="00D72FA0">
      <w:pPr>
        <w:pStyle w:val="17"/>
        <w:tabs>
          <w:tab w:val="right" w:leader="dot" w:pos="9931"/>
        </w:tabs>
        <w:spacing w:after="0" w:line="480" w:lineRule="exact"/>
        <w:ind w:left="900"/>
      </w:pPr>
      <w:r>
        <w:rPr>
          <w:rStyle w:val="19"/>
          <w:color w:val="000000"/>
        </w:rPr>
        <w:t>правосудия в режиме электронного окна</w:t>
      </w:r>
      <w:r>
        <w:rPr>
          <w:rStyle w:val="19"/>
          <w:color w:val="000000"/>
        </w:rPr>
        <w:tab/>
        <w:t>173</w:t>
      </w:r>
    </w:p>
    <w:p w14:paraId="143EFE92" w14:textId="77777777" w:rsidR="00D72FA0" w:rsidRDefault="00D72FA0" w:rsidP="00D72FA0">
      <w:pPr>
        <w:pStyle w:val="17"/>
        <w:tabs>
          <w:tab w:val="right" w:leader="dot" w:pos="9900"/>
        </w:tabs>
        <w:spacing w:after="0" w:line="720" w:lineRule="exact"/>
      </w:pPr>
      <w:hyperlink w:anchor="bookmark28" w:tooltip="Current Document" w:history="1">
        <w:r>
          <w:rPr>
            <w:rStyle w:val="19"/>
            <w:color w:val="000000"/>
          </w:rPr>
          <w:t>СПИСОК СОКРАЩЕНИЙ И УСЛОВНЫХ ОБОЗНАЧЕНИЙ</w:t>
        </w:r>
        <w:r>
          <w:rPr>
            <w:rStyle w:val="19"/>
            <w:color w:val="000000"/>
          </w:rPr>
          <w:tab/>
          <w:t>192</w:t>
        </w:r>
      </w:hyperlink>
    </w:p>
    <w:p w14:paraId="4FB8DE8F" w14:textId="77777777" w:rsidR="00D72FA0" w:rsidRDefault="00D72FA0" w:rsidP="00D72FA0">
      <w:pPr>
        <w:pStyle w:val="17"/>
        <w:tabs>
          <w:tab w:val="right" w:leader="dot" w:pos="9900"/>
        </w:tabs>
        <w:spacing w:after="0" w:line="720" w:lineRule="exact"/>
      </w:pPr>
      <w:hyperlink w:anchor="bookmark30" w:tooltip="Current Document" w:history="1">
        <w:r>
          <w:rPr>
            <w:rStyle w:val="19"/>
            <w:color w:val="000000"/>
          </w:rPr>
          <w:t>БИБЛИОГРАФИЧЕСКИЙ СПИСОК</w:t>
        </w:r>
        <w:r>
          <w:rPr>
            <w:rStyle w:val="19"/>
            <w:color w:val="000000"/>
          </w:rPr>
          <w:tab/>
          <w:t>193</w:t>
        </w:r>
      </w:hyperlink>
    </w:p>
    <w:p w14:paraId="023F04A5" w14:textId="77777777" w:rsidR="00D72FA0" w:rsidRDefault="00D72FA0" w:rsidP="00D72FA0">
      <w:pPr>
        <w:pStyle w:val="17"/>
        <w:tabs>
          <w:tab w:val="right" w:leader="dot" w:pos="9900"/>
        </w:tabs>
        <w:spacing w:after="0" w:line="720" w:lineRule="exact"/>
      </w:pPr>
      <w:r>
        <w:rPr>
          <w:rStyle w:val="19"/>
          <w:color w:val="000000"/>
        </w:rPr>
        <w:t>ПРИЛОЖЕНИЕ 1</w:t>
      </w:r>
      <w:r>
        <w:rPr>
          <w:rStyle w:val="19"/>
          <w:color w:val="000000"/>
        </w:rPr>
        <w:tab/>
        <w:t>234</w:t>
      </w:r>
    </w:p>
    <w:p w14:paraId="46A1E89C" w14:textId="77777777" w:rsidR="00D72FA0" w:rsidRDefault="00D72FA0" w:rsidP="00D72FA0">
      <w:pPr>
        <w:pStyle w:val="17"/>
        <w:tabs>
          <w:tab w:val="right" w:leader="dot" w:pos="9900"/>
        </w:tabs>
        <w:spacing w:after="0" w:line="720" w:lineRule="exact"/>
      </w:pPr>
      <w:r>
        <w:rPr>
          <w:rStyle w:val="19"/>
          <w:color w:val="000000"/>
        </w:rPr>
        <w:t>ПРИЛОЖЕНИЕ 2</w:t>
      </w:r>
      <w:r>
        <w:rPr>
          <w:rStyle w:val="19"/>
          <w:color w:val="000000"/>
        </w:rPr>
        <w:tab/>
        <w:t>237</w:t>
      </w:r>
    </w:p>
    <w:p w14:paraId="4C658B21" w14:textId="77777777" w:rsidR="00D72FA0" w:rsidRDefault="00D72FA0" w:rsidP="00D72FA0">
      <w:pPr>
        <w:pStyle w:val="17"/>
        <w:tabs>
          <w:tab w:val="right" w:leader="dot" w:pos="9900"/>
        </w:tabs>
        <w:spacing w:after="0" w:line="720" w:lineRule="exact"/>
        <w:sectPr w:rsidR="00D72FA0">
          <w:headerReference w:type="even" r:id="rId7"/>
          <w:headerReference w:type="default" r:id="rId8"/>
          <w:footnotePr>
            <w:numRestart w:val="eachPage"/>
          </w:footnotePr>
          <w:pgSz w:w="11900" w:h="16840"/>
          <w:pgMar w:top="1903" w:right="457" w:bottom="1401" w:left="1464" w:header="0" w:footer="3" w:gutter="0"/>
          <w:cols w:space="720"/>
          <w:noEndnote/>
          <w:titlePg/>
          <w:docGrid w:linePitch="360"/>
        </w:sectPr>
      </w:pPr>
      <w:r>
        <w:rPr>
          <w:rStyle w:val="19"/>
          <w:color w:val="000000"/>
        </w:rPr>
        <w:t>ПРИЛОЖЕНИЕ 3</w:t>
      </w:r>
      <w:r>
        <w:rPr>
          <w:rStyle w:val="19"/>
          <w:color w:val="000000"/>
        </w:rPr>
        <w:tab/>
        <w:t>239</w:t>
      </w:r>
    </w:p>
    <w:p w14:paraId="1F6D7E36" w14:textId="6DC65072" w:rsidR="001F1652" w:rsidRDefault="00D72FA0" w:rsidP="00D72FA0">
      <w:r>
        <w:lastRenderedPageBreak/>
        <w:fldChar w:fldCharType="end"/>
      </w:r>
    </w:p>
    <w:p w14:paraId="5FD26FB4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bookmarkStart w:id="2" w:name="bookmark27"/>
      <w:r>
        <w:rPr>
          <w:rStyle w:val="21"/>
          <w:color w:val="000000"/>
        </w:rPr>
        <w:t>Проведенный нами анализ действующих положений законодательной базы, специальной литературы и правоприменительной практики позволяет сделать следующие выводы и сформулировать конкретные предложения по нормативно</w:t>
      </w:r>
      <w:r>
        <w:rPr>
          <w:rStyle w:val="21"/>
          <w:color w:val="000000"/>
        </w:rPr>
        <w:softHyphen/>
        <w:t>правовому регулированию теоретико-прикладных аспектов цифровой цивилистической процессуальной формы.</w:t>
      </w:r>
      <w:bookmarkEnd w:id="2"/>
    </w:p>
    <w:p w14:paraId="27142AE1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Рассмотрев наиболее релевантные теме настоящего исследования позиции относительно природы и сущности цивилистической процессуальной формы, мы приходим к выводу о том, что под ней следует понимать внешнее нормативно</w:t>
      </w:r>
      <w:r>
        <w:rPr>
          <w:rStyle w:val="21"/>
          <w:color w:val="000000"/>
        </w:rPr>
        <w:softHyphen/>
        <w:t>правовое выражение порядка рассмотрения и разрешения дел.</w:t>
      </w:r>
    </w:p>
    <w:p w14:paraId="4BBDAF16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Значение цивилистической процессуальной формы как одной из базовых категорий права и процесса раскрывается через объективную и субъективную стороны процессуальной формы. Теоретическая значимость рассматриваемого понятия заключается в возможности отграничения цивилистического процесса от иных аспектов судебной деятельности, в частности, конституционного и уголовного судопроизводства. Прикладная роль цивилистической процессуальной формы раскрывается через определенные судопроизводством правовые гарантии, наделение заинтересованных в исходе дела лиц комплексом предусмотренных законом прав и обязанностей, а суда - полномочиями в целях вынесения законного и обоснованного решения по результатам рассмотрения и разрешения возникшего спора в соответствии с положениями действующего процессуального законодательства.</w:t>
      </w:r>
    </w:p>
    <w:p w14:paraId="46F2C56B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lastRenderedPageBreak/>
        <w:t>В зависимости от способа фиксации и передачи юридически-значимой информации цивилистическая процессуальная форма подразделяется на устную, письменную и цифровую. Под устной формой понимается регламент процессуального поведения участников цивилистического процесса, под письменной - порядок документального оформления процессуального поведения, а под цифровой - внешнее нормативно-правовое выражение порядка рассмотрения и разрешения гражданских, административных дел и экономических споров с применением цифровых технологий фиксации, обработки и передачи информации, имеющей юридическое значение.</w:t>
      </w:r>
    </w:p>
    <w:p w14:paraId="6A8C7F52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Как и любое иное правовое явление, цивилистическая процессуальная форма обладает присущими только ей чертами, к которым в научной литературе по общему правилу относят нормативность, системность, формальную определенность и динамизм. Отдельными исследователями наравне с указанными признаками также выделяется универсальность. Однако в условиях цифровизации отправления правосудия универсальность постепенно становится прототипом для кардинально нового для цивилистического процессуального права понятия. В настоящее время цивилистическая процессуальная форма не только обладает универсальностью по отношению к применению норм процессуального права к любым рассматриваемым категориям дел, но и приспосабливается под все возможные способы рассмотрения и разрешения дел, в том числе в цифровой среде. Последнее обуславливает возникновение нового свойства цивилистической процессуальной формы, которое в науке цивилистического процессуального права предлагается определить как «процессуально-правовую адаптивность», под которой необходимо понимать гибкость цивилистической процессуальной формы по отношению ко всем способам рассмотрения и разрешения судами гражданских, административных дел и экономических споров.</w:t>
      </w:r>
    </w:p>
    <w:p w14:paraId="2AFD6ABF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lastRenderedPageBreak/>
        <w:t>Возникновение цифровой цивилистической процессуальной формы должно происходить в точном соответствии с руководящими началами цивилистического процесса, при этом не исключая возможности внесения отдельных изменений в механизм их действия. Так, в большей степени цифровой трансформации подвержены организационные принципы, отвечающие за внешнее устройство цивилистического судопроизводства, поскольку выделение цифровой цивилистической процессуальной формы прежде всего обусловлено внешним преобразованием порядка рассмотрения и разрешения гражданских, административных дел и экономических споров. В то же время функциональные принципы также не остаются вне поля цифровизации, но в сравнении с организационными принципами их трансформация наблюдается в меньшей степени.</w:t>
      </w:r>
    </w:p>
    <w:p w14:paraId="56F4E1D3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Практика применения цифровых технологий за рубежом, как и уже имеющийся опыт внедрения технологий нового поколения в судебную систему России, свидетельствует о довольно успешном и эффективном внедрении в судебную систему современных средств информационного обеспечения.</w:t>
      </w:r>
    </w:p>
    <w:p w14:paraId="0B883D96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 xml:space="preserve">В настоящее время модернизируются способы использования информации, кардинально меняется отношение к цифровизации отдельных институтов процессуального права, цивилистический процесс приобретает черты процессуально-правовой системы, отвечающей последним требованиям современности. Цифровая модернизация охватывает абсолютно все стадии отправления правосудия, предоставляя судебным органам и иным участникам цивилистического процесса возможность ведения электронного документооборота, аудио- и видеопротоколирования, применения систем ВКС и веб-конференции, а также предлагая использование допустимого потенциала </w:t>
      </w:r>
      <w:r>
        <w:rPr>
          <w:rStyle w:val="21"/>
          <w:color w:val="000000"/>
        </w:rPr>
        <w:lastRenderedPageBreak/>
        <w:t>искусственного интеллекта.</w:t>
      </w:r>
    </w:p>
    <w:p w14:paraId="04AF667B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Однако, как показывают анализ действующего законодательства и судебной практики, оперирование вышеназванными технологиями превосходит их нормативно-правовое закрепление, впоследствии проявляя существенные пробелы в правовом регулировании порядка их использования.</w:t>
      </w:r>
    </w:p>
    <w:p w14:paraId="57FB3EFE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Для решения вышеуказанной проблемы необходимо принять ряд процессуально-правовых мер.</w:t>
      </w:r>
    </w:p>
    <w:p w14:paraId="5CAC8CF5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 xml:space="preserve">Во-первых, в ГПК РФ, АПК РФ и </w:t>
      </w:r>
      <w:r>
        <w:rPr>
          <w:rStyle w:val="21"/>
          <w:color w:val="000000"/>
          <w:lang w:val="uk-UA" w:eastAsia="uk-UA"/>
        </w:rPr>
        <w:t xml:space="preserve">КАС </w:t>
      </w:r>
      <w:r>
        <w:rPr>
          <w:rStyle w:val="21"/>
          <w:color w:val="000000"/>
        </w:rPr>
        <w:t>РФ следует закрепить основания для отклонения документов, подданных в электронном виде. Актуальность новеллы объясняется тем, что отклонение документов, представленных в электронной форме, является неизвестным действующему законодательству, что свидетельствует о появлении в процессуальном праве совершенно нового института и, как следствие, требует соответствующей правовой регламентации.</w:t>
      </w:r>
    </w:p>
    <w:p w14:paraId="62A8886A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Во-вторых, в отношении стадии подготовки дела к судебному разбирательству следует упростить механизм получения судом необходимой для правильного рассмотрения и разрешения дела информации, создав наравне с предварительным судебным заседанием еще одну форму подготовки дела к судебному разбирательству - возможность проведения информационно</w:t>
      </w:r>
      <w:r>
        <w:rPr>
          <w:rStyle w:val="21"/>
          <w:color w:val="000000"/>
        </w:rPr>
        <w:softHyphen/>
        <w:t>подготовительных встреч. В этой связи требуется дополнение ГПК РФ статьей</w:t>
      </w:r>
    </w:p>
    <w:p w14:paraId="76863C8C" w14:textId="77777777" w:rsidR="00D72FA0" w:rsidRDefault="00D72FA0" w:rsidP="006A18E5">
      <w:pPr>
        <w:pStyle w:val="210"/>
        <w:numPr>
          <w:ilvl w:val="0"/>
          <w:numId w:val="4"/>
        </w:numPr>
        <w:shd w:val="clear" w:color="auto" w:fill="auto"/>
        <w:tabs>
          <w:tab w:val="left" w:pos="798"/>
        </w:tabs>
        <w:spacing w:before="0" w:after="0" w:line="480" w:lineRule="exact"/>
        <w:jc w:val="both"/>
      </w:pPr>
      <w:r>
        <w:rPr>
          <w:rStyle w:val="21"/>
          <w:color w:val="000000"/>
        </w:rPr>
        <w:t xml:space="preserve">АПК РФ статьей 136.1, статьей 138.1 </w:t>
      </w:r>
      <w:r>
        <w:rPr>
          <w:rStyle w:val="21"/>
          <w:color w:val="000000"/>
          <w:lang w:val="uk-UA" w:eastAsia="uk-UA"/>
        </w:rPr>
        <w:t xml:space="preserve">КАС </w:t>
      </w:r>
      <w:r>
        <w:rPr>
          <w:rStyle w:val="21"/>
          <w:color w:val="000000"/>
        </w:rPr>
        <w:t>РФ.</w:t>
      </w:r>
    </w:p>
    <w:p w14:paraId="16CDB23C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lastRenderedPageBreak/>
        <w:t xml:space="preserve">В-третьих, необходимо более подробно регламентировать порядок проведения ВКС, дополнив предоставленную в ГПК РФ и </w:t>
      </w:r>
      <w:r>
        <w:rPr>
          <w:rStyle w:val="21"/>
          <w:color w:val="000000"/>
          <w:lang w:val="uk-UA" w:eastAsia="uk-UA"/>
        </w:rPr>
        <w:t xml:space="preserve">КАС </w:t>
      </w:r>
      <w:r>
        <w:rPr>
          <w:rStyle w:val="21"/>
          <w:color w:val="000000"/>
        </w:rPr>
        <w:t>РФ правовую регламентацию, как это сделано законодателем в статье 153.1 АПК РФ, одновременно скорректировав часть 1 и часть 5 статьи 153.1 АПК РФ, уточнив круг субъектов инициирования, процессуальное оформление решения суда по ходатайству и основания для его отклонения.</w:t>
      </w:r>
    </w:p>
    <w:p w14:paraId="6C3B6682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Также одной из консеквенций цифровой модернизации судебной системы стало возникновение принципиально нового средства доказывания - электронных доказательств, правовой регламентации которых российский законодатель не оказал должного внимания, отнеся электронную информацию к уже имеющимся в действующем законодательстве письменным доказательствам.</w:t>
      </w:r>
    </w:p>
    <w:p w14:paraId="3DD88AB4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Между тем, дифференцируя уже имеющиеся средства доказывания, следует отметить, что электронные доказательства не имеют определенной материальной формы, не связаны с материальным носителем и могут храниться в среде, пригодной для хранения и передачи цифровой информации. Специфику электронных доказательств также подчеркивает особый способ их создания, поскольку такая информация возникает с помощью электронно-вычислительных средств программного обеспечения.</w:t>
      </w:r>
    </w:p>
    <w:p w14:paraId="374DF06F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>Проблема идентификации и установления достоверности электронных доказательств с позиции современных технологий может быть решена с помощью легализации использования в доказательственном процессе технологии блокчейн.</w:t>
      </w:r>
    </w:p>
    <w:p w14:paraId="440DB262" w14:textId="77777777" w:rsidR="00D72FA0" w:rsidRDefault="00D72FA0" w:rsidP="00D72FA0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lastRenderedPageBreak/>
        <w:t>В целях диверсификации перечня средств доказывания предлагается следующий правовой механизм регламентации электронной информации в процессуальном праве.</w:t>
      </w:r>
    </w:p>
    <w:p w14:paraId="5C812E32" w14:textId="77777777" w:rsidR="00D72FA0" w:rsidRDefault="00D72FA0" w:rsidP="00D72FA0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 xml:space="preserve">Во-первых, предлагаем дополнить абзац 2 части 1 статьи 55 ГПК РФ, изложив его в следующей редакции: «Эти сведения могут быть получены из объяснений сторон и третьих лиц, показаний свидетелей, письменных, электронных и вещественных доказательств, аудио- и видеозаписей, заключений экспертов». Дополнить абзац 1 части 2 статьи 64 АПК РФ, представив его следующим образом: «В качестве доказательств допускаются письменные, электронные и вещественные доказательства, объяснения лиц, участвующих в деле, заключения экспертов, консультации специалистов, показания свидетелей, аудио- и видеозаписи, иные документы и материалы». Внести изменения в часть 2 статьи 59 </w:t>
      </w:r>
      <w:r>
        <w:rPr>
          <w:rStyle w:val="21"/>
          <w:color w:val="000000"/>
          <w:lang w:val="uk-UA" w:eastAsia="uk-UA"/>
        </w:rPr>
        <w:t xml:space="preserve">КАС </w:t>
      </w:r>
      <w:r>
        <w:rPr>
          <w:rStyle w:val="21"/>
          <w:color w:val="000000"/>
        </w:rPr>
        <w:t>РФ, изложив ее в следующей редакции: «В качестве доказательств допускаются объяснения лиц, участвующих в деле, и показания свидетелей, полученные в том числе путем использования систем видеоконференц-связи, системы веб-конференции, а также письменные, электронные и вещественные доказательства, аудио- и видеозаписи, заключения экспертов».</w:t>
      </w:r>
    </w:p>
    <w:p w14:paraId="62D610C6" w14:textId="77777777" w:rsidR="00D72FA0" w:rsidRDefault="00D72FA0" w:rsidP="00D72FA0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 xml:space="preserve">Во-вторых, необходимо исключить из статей 71 ГПК РФ, 75 АПК РФ и 70 </w:t>
      </w:r>
      <w:r>
        <w:rPr>
          <w:rStyle w:val="21"/>
          <w:color w:val="000000"/>
          <w:lang w:val="uk-UA" w:eastAsia="uk-UA"/>
        </w:rPr>
        <w:t xml:space="preserve">КАС </w:t>
      </w:r>
      <w:r>
        <w:rPr>
          <w:rStyle w:val="21"/>
          <w:color w:val="000000"/>
        </w:rPr>
        <w:t xml:space="preserve">РФ информацию, касающуюся документов и материалов, выполненных в форме электронно-цифровой записи, и внести в Кодексы ещё одну статью - предположительно статью 71.1 ГПК РФ, статью 75.1 АПК РФ, стать. 70.1 </w:t>
      </w:r>
      <w:r>
        <w:rPr>
          <w:rStyle w:val="21"/>
          <w:color w:val="000000"/>
          <w:lang w:val="uk-UA" w:eastAsia="uk-UA"/>
        </w:rPr>
        <w:t xml:space="preserve">КАС </w:t>
      </w:r>
      <w:r>
        <w:rPr>
          <w:rStyle w:val="21"/>
          <w:color w:val="000000"/>
        </w:rPr>
        <w:t>РФ «Электронные доказательства», где следует отобразить специфику электронных доказательств, включив в неё их дефиницию и указав способы их получения.</w:t>
      </w:r>
    </w:p>
    <w:p w14:paraId="494E6940" w14:textId="77777777" w:rsidR="00D72FA0" w:rsidRDefault="00D72FA0" w:rsidP="00D72FA0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lastRenderedPageBreak/>
        <w:t>Под искусственным интеллектом применительно к цивилистическому процессу следует понимать элементы, действующие автономно в рамках одной единой автоматизированной системы хранения и обработки данных, позволяющие машинному разуму выполнять функционал человека на более совершенном - электронно-техническом - уровне.</w:t>
      </w:r>
    </w:p>
    <w:p w14:paraId="6028969D" w14:textId="77777777" w:rsidR="00D72FA0" w:rsidRDefault="00D72FA0" w:rsidP="00D72FA0">
      <w:pPr>
        <w:pStyle w:val="210"/>
        <w:shd w:val="clear" w:color="auto" w:fill="auto"/>
        <w:ind w:firstLine="720"/>
        <w:jc w:val="both"/>
      </w:pPr>
      <w:r>
        <w:rPr>
          <w:rStyle w:val="21"/>
          <w:color w:val="000000"/>
        </w:rPr>
        <w:t>Поиск новых подходов к адаптации искусственного интеллекта к судебной системе показывает, что экстраполяция результатов внедрения отдельных элементов машинного разума в процесс отправления правосудия может стать своеобразным триггером для наделения модели интеллектуализации судебной власти правом на жизнь. При этом о полной замене человеческого разума искусственным интеллектом в аспекте применения технологий нового поколения в судебной системе России речи не идет. В настоящее время перед искусственным интеллектом стоит задача не заменить судью, а стать его правой рукой - персональным помощником, способным увеличить его потенциал. В качестве одного из возможных способов оптимизации следует рассмотреть внедрение элементов автоматизации рассмотрения дел с помощью искусственного интеллекта в приказном производстве с возможностью дальнейшего расширения функционала сервиса для категорий дел, рассматриваемых в рамках упрощенного производства. Достаточно простые модификации процессуальной формы с повторяющимися фактическими сценариями, на наш взгляд, могут стать отличным плацдармом для такого рода экспериментов, когда руководящая роль с функционалом контроля останется в руках судьи-человека, участникам процесса будет предложена альтернатива традиционному производству, а судебной системе - возможность цифровой модернизации с целью приведения её модификаций в соответствие с потребностями современности.</w:t>
      </w:r>
    </w:p>
    <w:p w14:paraId="6C0906F8" w14:textId="1026E120" w:rsidR="00D72FA0" w:rsidRPr="00D72FA0" w:rsidRDefault="00D72FA0" w:rsidP="00D72FA0">
      <w:r>
        <w:rPr>
          <w:rStyle w:val="21"/>
          <w:color w:val="000000"/>
        </w:rPr>
        <w:lastRenderedPageBreak/>
        <w:t>Таким образом, выступая в качестве средств информационного обеспечения, технологии нового поколения модернизируют судебную систему, становясь важнейшим катализатором реформирования действующего цивилистического процессуального законодательства. Новые подходы к способам хранения и обращения информации переводят отправление правосудия в цифровую среду, наделяя цивилистическую процессуальную форму признаком «процессуально</w:t>
      </w:r>
      <w:r>
        <w:rPr>
          <w:rStyle w:val="21"/>
          <w:color w:val="000000"/>
        </w:rPr>
        <w:softHyphen/>
        <w:t>правовой адаптивности». Применительно к цифровой среде процессуально - правовая адаптивность становится одним из проявлений цифровой цивилистической процессуальной формы, которая как вид цивилистической процессуальной формы, перестраивает правосудие на цифровые рельсы. В свою очередь стагнация в правовом поле применения цифровых новаций может повлечь за собой дезорганизацию цивилистического процесса, тем самым необоснованно ограничив возможности участников цивилистических процессуальных отношений в цифровой среде.</w:t>
      </w:r>
    </w:p>
    <w:sectPr w:rsidR="00D72FA0" w:rsidRPr="00D72FA0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BFCBE" w14:textId="77777777" w:rsidR="006A18E5" w:rsidRDefault="006A18E5">
      <w:pPr>
        <w:spacing w:after="0" w:line="240" w:lineRule="auto"/>
      </w:pPr>
      <w:r>
        <w:separator/>
      </w:r>
    </w:p>
  </w:endnote>
  <w:endnote w:type="continuationSeparator" w:id="0">
    <w:p w14:paraId="18238153" w14:textId="77777777" w:rsidR="006A18E5" w:rsidRDefault="006A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A0FB" w14:textId="77777777" w:rsidR="006A18E5" w:rsidRDefault="006A18E5">
      <w:pPr>
        <w:spacing w:after="0" w:line="240" w:lineRule="auto"/>
      </w:pPr>
      <w:r>
        <w:separator/>
      </w:r>
    </w:p>
  </w:footnote>
  <w:footnote w:type="continuationSeparator" w:id="0">
    <w:p w14:paraId="2E2D157F" w14:textId="77777777" w:rsidR="006A18E5" w:rsidRDefault="006A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0694" w14:textId="75142657" w:rsidR="00D72FA0" w:rsidRDefault="00D72F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EB3C674" wp14:editId="2B1C3B1A">
              <wp:simplePos x="0" y="0"/>
              <wp:positionH relativeFrom="page">
                <wp:posOffset>3465195</wp:posOffset>
              </wp:positionH>
              <wp:positionV relativeFrom="page">
                <wp:posOffset>788035</wp:posOffset>
              </wp:positionV>
              <wp:extent cx="1277620" cy="204470"/>
              <wp:effectExtent l="0" t="0" r="635" b="0"/>
              <wp:wrapNone/>
              <wp:docPr id="104" name="Надпись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71547" w14:textId="77777777" w:rsidR="00D72FA0" w:rsidRDefault="00D72FA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ОГЛАВЛЕНИЕ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3C674" id="_x0000_t202" coordsize="21600,21600" o:spt="202" path="m,l,21600r21600,l21600,xe">
              <v:stroke joinstyle="miter"/>
              <v:path gradientshapeok="t" o:connecttype="rect"/>
            </v:shapetype>
            <v:shape id="Надпись 104" o:spid="_x0000_s1026" type="#_x0000_t202" style="position:absolute;margin-left:272.85pt;margin-top:62.05pt;width:100.6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" filled="f" stroked="f">
              <v:textbox style="mso-fit-shape-to-text:t" inset="0,0,0,0">
                <w:txbxContent>
                  <w:p w14:paraId="6E171547" w14:textId="77777777" w:rsidR="00D72FA0" w:rsidRDefault="00D72FA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ОГЛАВЛЕНИЕ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1D123FD" wp14:editId="1F7E3E3F">
              <wp:simplePos x="0" y="0"/>
              <wp:positionH relativeFrom="page">
                <wp:posOffset>4053840</wp:posOffset>
              </wp:positionH>
              <wp:positionV relativeFrom="page">
                <wp:posOffset>407035</wp:posOffset>
              </wp:positionV>
              <wp:extent cx="83185" cy="189865"/>
              <wp:effectExtent l="0" t="0" r="0" b="3175"/>
              <wp:wrapNone/>
              <wp:docPr id="103" name="Надпись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8441A" w14:textId="77777777" w:rsidR="00D72FA0" w:rsidRDefault="00D72FA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D123FD" id="Надпись 103" o:spid="_x0000_s1027" type="#_x0000_t202" style="position:absolute;margin-left:319.2pt;margin-top:32.05pt;width:6.55pt;height:14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" filled="f" stroked="f">
              <v:textbox style="mso-fit-shape-to-text:t" inset="0,0,0,0">
                <w:txbxContent>
                  <w:p w14:paraId="0698441A" w14:textId="77777777" w:rsidR="00D72FA0" w:rsidRDefault="00D72FA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3C7B" w14:textId="156CAB5A" w:rsidR="00D72FA0" w:rsidRDefault="00D72FA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F5E5E34" wp14:editId="7A07B9B7">
              <wp:simplePos x="0" y="0"/>
              <wp:positionH relativeFrom="page">
                <wp:posOffset>952500</wp:posOffset>
              </wp:positionH>
              <wp:positionV relativeFrom="page">
                <wp:posOffset>788035</wp:posOffset>
              </wp:positionV>
              <wp:extent cx="6287770" cy="204470"/>
              <wp:effectExtent l="0" t="0" r="0" b="0"/>
              <wp:wrapNone/>
              <wp:docPr id="102" name="Надпись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77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954DE" w14:textId="77777777" w:rsidR="00D72FA0" w:rsidRDefault="00D72FA0">
                          <w:pPr>
                            <w:pStyle w:val="11"/>
                            <w:shd w:val="clear" w:color="auto" w:fill="auto"/>
                            <w:tabs>
                              <w:tab w:val="right" w:pos="9902"/>
                            </w:tabs>
                            <w:spacing w:line="240" w:lineRule="auto"/>
                          </w:pPr>
                          <w:r>
                            <w:rPr>
                              <w:rStyle w:val="10pt"/>
                              <w:color w:val="000000"/>
                            </w:rPr>
                            <w:t>ЗАКЛЮЧЕНИЕ</w:t>
                          </w:r>
                          <w:r>
                            <w:rPr>
                              <w:rStyle w:val="10pt"/>
                              <w:color w:val="000000"/>
                            </w:rPr>
                            <w:tab/>
                            <w:t>186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E5E34" id="_x0000_t202" coordsize="21600,21600" o:spt="202" path="m,l,21600r21600,l21600,xe">
              <v:stroke joinstyle="miter"/>
              <v:path gradientshapeok="t" o:connecttype="rect"/>
            </v:shapetype>
            <v:shape id="Надпись 102" o:spid="_x0000_s1028" type="#_x0000_t202" style="position:absolute;margin-left:75pt;margin-top:62.05pt;width:495.1pt;height:16.1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" filled="f" stroked="f">
              <v:textbox style="mso-fit-shape-to-text:t" inset="0,0,0,0">
                <w:txbxContent>
                  <w:p w14:paraId="1A7954DE" w14:textId="77777777" w:rsidR="00D72FA0" w:rsidRDefault="00D72FA0">
                    <w:pPr>
                      <w:pStyle w:val="11"/>
                      <w:shd w:val="clear" w:color="auto" w:fill="auto"/>
                      <w:tabs>
                        <w:tab w:val="right" w:pos="9902"/>
                      </w:tabs>
                      <w:spacing w:line="240" w:lineRule="auto"/>
                    </w:pPr>
                    <w:r>
                      <w:rPr>
                        <w:rStyle w:val="10pt"/>
                        <w:color w:val="000000"/>
                      </w:rPr>
                      <w:t>ЗАКЛЮЧЕНИЕ</w:t>
                    </w:r>
                    <w:r>
                      <w:rPr>
                        <w:rStyle w:val="10pt"/>
                        <w:color w:val="000000"/>
                      </w:rPr>
                      <w:tab/>
                      <w:t>186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250BAB3" wp14:editId="1D4DC743">
              <wp:simplePos x="0" y="0"/>
              <wp:positionH relativeFrom="page">
                <wp:posOffset>4058285</wp:posOffset>
              </wp:positionH>
              <wp:positionV relativeFrom="page">
                <wp:posOffset>407035</wp:posOffset>
              </wp:positionV>
              <wp:extent cx="83185" cy="189865"/>
              <wp:effectExtent l="635" t="0" r="1905" b="3175"/>
              <wp:wrapNone/>
              <wp:docPr id="101" name="Надпись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97DB3" w14:textId="77777777" w:rsidR="00D72FA0" w:rsidRDefault="00D72FA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0BAB3" id="Надпись 101" o:spid="_x0000_s1029" type="#_x0000_t202" style="position:absolute;margin-left:319.55pt;margin-top:32.05pt;width:6.55pt;height:14.9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" filled="f" stroked="f">
              <v:textbox style="mso-fit-shape-to-text:t" inset="0,0,0,0">
                <w:txbxContent>
                  <w:p w14:paraId="3BB97DB3" w14:textId="77777777" w:rsidR="00D72FA0" w:rsidRDefault="00D72FA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18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4D"/>
    <w:multiLevelType w:val="multilevel"/>
    <w:tmpl w:val="0000004C"/>
    <w:lvl w:ilvl="0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5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8E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69963</TotalTime>
  <Pages>11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995</cp:revision>
  <dcterms:created xsi:type="dcterms:W3CDTF">2024-06-20T08:51:00Z</dcterms:created>
  <dcterms:modified xsi:type="dcterms:W3CDTF">2024-09-01T19:25:00Z</dcterms:modified>
  <cp:category/>
</cp:coreProperties>
</file>