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4F189" w14:textId="3C20D21A" w:rsidR="00FB2C91" w:rsidRDefault="004352A7" w:rsidP="004352A7">
      <w:pPr>
        <w:rPr>
          <w:rFonts w:ascii="Verdana" w:hAnsi="Verdana"/>
          <w:b/>
          <w:bCs/>
          <w:color w:val="000000"/>
          <w:shd w:val="clear" w:color="auto" w:fill="FFFFFF"/>
        </w:rPr>
      </w:pPr>
      <w:r>
        <w:rPr>
          <w:rFonts w:ascii="Verdana" w:hAnsi="Verdana"/>
          <w:b/>
          <w:bCs/>
          <w:color w:val="000000"/>
          <w:shd w:val="clear" w:color="auto" w:fill="FFFFFF"/>
        </w:rPr>
        <w:t>Басок Оксана Степанівна. Клінічне значення інтерлейкінів та імунної відповіді при сальмонельозі у дітей : Дис... канд. мед. наук: 14.01.13 / Харківський держ. медичний ун-т. — Х., 2006. — 165арк. — Бібліогр.: арк. 141-165.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352A7" w:rsidRPr="004352A7" w14:paraId="643F50E3" w14:textId="77777777" w:rsidTr="004352A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352A7" w:rsidRPr="004352A7" w14:paraId="14DA3745" w14:textId="77777777">
              <w:trPr>
                <w:tblCellSpacing w:w="0" w:type="dxa"/>
              </w:trPr>
              <w:tc>
                <w:tcPr>
                  <w:tcW w:w="0" w:type="auto"/>
                  <w:vAlign w:val="center"/>
                  <w:hideMark/>
                </w:tcPr>
                <w:p w14:paraId="545E0287" w14:textId="77777777" w:rsidR="004352A7" w:rsidRPr="004352A7" w:rsidRDefault="004352A7" w:rsidP="004352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52A7">
                    <w:rPr>
                      <w:rFonts w:ascii="Times New Roman" w:eastAsia="Times New Roman" w:hAnsi="Times New Roman" w:cs="Times New Roman"/>
                      <w:b/>
                      <w:bCs/>
                      <w:i/>
                      <w:iCs/>
                      <w:sz w:val="24"/>
                      <w:szCs w:val="24"/>
                    </w:rPr>
                    <w:lastRenderedPageBreak/>
                    <w:t>Басок О.С.</w:t>
                  </w:r>
                  <w:r w:rsidRPr="004352A7">
                    <w:rPr>
                      <w:rFonts w:ascii="Times New Roman" w:eastAsia="Times New Roman" w:hAnsi="Times New Roman" w:cs="Times New Roman"/>
                      <w:sz w:val="24"/>
                      <w:szCs w:val="24"/>
                    </w:rPr>
                    <w:t> </w:t>
                  </w:r>
                  <w:r w:rsidRPr="004352A7">
                    <w:rPr>
                      <w:rFonts w:ascii="Times New Roman" w:eastAsia="Times New Roman" w:hAnsi="Times New Roman" w:cs="Times New Roman"/>
                      <w:b/>
                      <w:bCs/>
                      <w:sz w:val="24"/>
                      <w:szCs w:val="24"/>
                    </w:rPr>
                    <w:t>Клінічне значення інтерлейкінів та імунної відповіді при сальмонельозі у дітей. – Рукопис.</w:t>
                  </w:r>
                </w:p>
                <w:p w14:paraId="3593DB2C" w14:textId="77777777" w:rsidR="004352A7" w:rsidRPr="004352A7" w:rsidRDefault="004352A7" w:rsidP="004352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52A7">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14.01.13 – інфекційні хвороби. – Іститут епідеміології та інфекційних хвороб</w:t>
                  </w:r>
                </w:p>
                <w:p w14:paraId="044BF091" w14:textId="77777777" w:rsidR="004352A7" w:rsidRPr="004352A7" w:rsidRDefault="004352A7" w:rsidP="004352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52A7">
                    <w:rPr>
                      <w:rFonts w:ascii="Times New Roman" w:eastAsia="Times New Roman" w:hAnsi="Times New Roman" w:cs="Times New Roman"/>
                      <w:sz w:val="24"/>
                      <w:szCs w:val="24"/>
                    </w:rPr>
                    <w:t>ім. Л.В. Громашевського АМН України, Київ, 2006.</w:t>
                  </w:r>
                </w:p>
                <w:p w14:paraId="7058AC63" w14:textId="77777777" w:rsidR="004352A7" w:rsidRPr="004352A7" w:rsidRDefault="004352A7" w:rsidP="004352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52A7">
                    <w:rPr>
                      <w:rFonts w:ascii="Times New Roman" w:eastAsia="Times New Roman" w:hAnsi="Times New Roman" w:cs="Times New Roman"/>
                      <w:sz w:val="24"/>
                      <w:szCs w:val="24"/>
                    </w:rPr>
                    <w:t>Дисертація присвячена вивченню клініко-патогенетичного та прогностичного значення інтерлейкінів і показників імунної відповіді при сальмонельозі у дітей раннього віку. Представлено результати клінічного та лабораторного обстеження хворих. Проведено вивчення кількісного вмісту інетерлейкінів, основних популяцій та субпопуляцій імунних клітин периферичної крові, а також імуноглобулінів основних класів. Виявлені особливості клінічного перебігу захворювання й імунної відповіді в залежності від вихідного рівня інтерлейкінів. В усіх хворих, особливо на тяжку форму, відмічено зниження відносної кількості CD3+, CD19+-лімфоцитів, моноцитів/макрофагів (CD14+), IgA, IgG, підвищення CD8+ і CD16+-клітин. Найбільші відхилення від показників здорових дітей виявлені у хворих з низьким вихідним рівнем інтерлейкінів. Досліджені внутрішньосистемні та міжсистемні кореляційні взаємозв’язки між рівнями інтерлейкінів, показниками імунітету та периферичної крові при різних варіантах перебігу хвороби. Виявлені два типи функціонування системи саногенезу. Нормореактивний тип, характерний для хворих зі сприятливим перебігом сальмонельозу та гіперреактивний на рівні імунної системи з дефіцитом компенсації на рівні організму, при якому формується несприятливий перебіг хвороби. Доведено, що імунні параметри мають більш високий прогностичний ранг порівняно з клініко-анамнестичними та іншими лабораторними даними, а серед імунних показників перше місце посідають інтерлейкіни.</w:t>
                  </w:r>
                </w:p>
              </w:tc>
            </w:tr>
          </w:tbl>
          <w:p w14:paraId="12871BB9" w14:textId="77777777" w:rsidR="004352A7" w:rsidRPr="004352A7" w:rsidRDefault="004352A7" w:rsidP="004352A7">
            <w:pPr>
              <w:spacing w:after="0" w:line="240" w:lineRule="auto"/>
              <w:rPr>
                <w:rFonts w:ascii="Times New Roman" w:eastAsia="Times New Roman" w:hAnsi="Times New Roman" w:cs="Times New Roman"/>
                <w:sz w:val="24"/>
                <w:szCs w:val="24"/>
              </w:rPr>
            </w:pPr>
          </w:p>
        </w:tc>
      </w:tr>
      <w:tr w:rsidR="004352A7" w:rsidRPr="004352A7" w14:paraId="21FA6829" w14:textId="77777777" w:rsidTr="004352A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352A7" w:rsidRPr="004352A7" w14:paraId="5C59781F" w14:textId="77777777">
              <w:trPr>
                <w:tblCellSpacing w:w="0" w:type="dxa"/>
              </w:trPr>
              <w:tc>
                <w:tcPr>
                  <w:tcW w:w="0" w:type="auto"/>
                  <w:vAlign w:val="center"/>
                  <w:hideMark/>
                </w:tcPr>
                <w:p w14:paraId="6C0EF5A5" w14:textId="77777777" w:rsidR="004352A7" w:rsidRPr="004352A7" w:rsidRDefault="004352A7" w:rsidP="00EB1EF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52A7">
                    <w:rPr>
                      <w:rFonts w:ascii="Times New Roman" w:eastAsia="Times New Roman" w:hAnsi="Times New Roman" w:cs="Times New Roman"/>
                      <w:sz w:val="24"/>
                      <w:szCs w:val="24"/>
                    </w:rPr>
                    <w:t>У дисертації виявлено клінічні та імунологічні особливості кишкового сальмонельозу, визначено інформативність анамнестичних, клініко-лабораторних та імунологічних показників, науково обґрунтовано і розроблено спосіб прогнозування перебігу хвороби, що є подальшим внеском у вирішення актуальної проблеми боротьби з сальмонельозом у дітей.</w:t>
                  </w:r>
                </w:p>
                <w:p w14:paraId="14F2AB56" w14:textId="77777777" w:rsidR="004352A7" w:rsidRPr="004352A7" w:rsidRDefault="004352A7" w:rsidP="00EB1EF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52A7">
                    <w:rPr>
                      <w:rFonts w:ascii="Times New Roman" w:eastAsia="Times New Roman" w:hAnsi="Times New Roman" w:cs="Times New Roman"/>
                      <w:sz w:val="24"/>
                      <w:szCs w:val="24"/>
                    </w:rPr>
                    <w:t>Сальмонельоз у дітей першого року виявляється у 1,5 та 1,9 рази частіше ніж у дітей другого і третього року життя. Основним збудником є Salm. typhimurium. Хворіють частіше діти з несприятливим преморбідним фоном. Переважають середньотяжка гастроентеритична і гастроентероколітична клінічні форми. У випадків виявляється несприятливий перебіг хвороби. Сприятливо захворювання перебігає при середньому та високому вмісті інтерлейкінів, несприятливо – у хворих з низькими та різноспрямованими змінами вмісту інтерлейкінів.</w:t>
                  </w:r>
                </w:p>
                <w:p w14:paraId="3CA3C767" w14:textId="77777777" w:rsidR="004352A7" w:rsidRPr="004352A7" w:rsidRDefault="004352A7" w:rsidP="00EB1EF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52A7">
                    <w:rPr>
                      <w:rFonts w:ascii="Times New Roman" w:eastAsia="Times New Roman" w:hAnsi="Times New Roman" w:cs="Times New Roman"/>
                      <w:sz w:val="24"/>
                      <w:szCs w:val="24"/>
                    </w:rPr>
                    <w:t>В усіх хворих, особливо на тяжку форму, відмічається зниження відносної кількості CD3+, CD19+-лімфоцитів, моноцитів/макрофагів (CD14+), IgA, IgG, підвищення CD8+ і CD16+. Найбільші відхилення від показників здорових дітей спостерігаються у хворих з низьким вихідним рівнем інтерлейкінів.</w:t>
                  </w:r>
                </w:p>
                <w:p w14:paraId="722586FE" w14:textId="77777777" w:rsidR="004352A7" w:rsidRPr="004352A7" w:rsidRDefault="004352A7" w:rsidP="00EB1EF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52A7">
                    <w:rPr>
                      <w:rFonts w:ascii="Times New Roman" w:eastAsia="Times New Roman" w:hAnsi="Times New Roman" w:cs="Times New Roman"/>
                      <w:sz w:val="24"/>
                      <w:szCs w:val="24"/>
                    </w:rPr>
                    <w:t>Сприятливий перебіг сальмонельозу супроводжується значним підвищенням рівнів усіх інтерлейкінів на початку хвороби, зниженням кількості CD3</w:t>
                  </w:r>
                  <w:r w:rsidRPr="004352A7">
                    <w:rPr>
                      <w:rFonts w:ascii="Times New Roman" w:eastAsia="Times New Roman" w:hAnsi="Times New Roman" w:cs="Times New Roman"/>
                      <w:sz w:val="24"/>
                      <w:szCs w:val="24"/>
                      <w:vertAlign w:val="superscript"/>
                    </w:rPr>
                    <w:t>+</w:t>
                  </w:r>
                  <w:r w:rsidRPr="004352A7">
                    <w:rPr>
                      <w:rFonts w:ascii="Times New Roman" w:eastAsia="Times New Roman" w:hAnsi="Times New Roman" w:cs="Times New Roman"/>
                      <w:sz w:val="24"/>
                      <w:szCs w:val="24"/>
                    </w:rPr>
                    <w:t>- і CD19</w:t>
                  </w:r>
                  <w:r w:rsidRPr="004352A7">
                    <w:rPr>
                      <w:rFonts w:ascii="Times New Roman" w:eastAsia="Times New Roman" w:hAnsi="Times New Roman" w:cs="Times New Roman"/>
                      <w:sz w:val="24"/>
                      <w:szCs w:val="24"/>
                      <w:vertAlign w:val="superscript"/>
                    </w:rPr>
                    <w:t>+</w:t>
                  </w:r>
                  <w:r w:rsidRPr="004352A7">
                    <w:rPr>
                      <w:rFonts w:ascii="Times New Roman" w:eastAsia="Times New Roman" w:hAnsi="Times New Roman" w:cs="Times New Roman"/>
                      <w:sz w:val="24"/>
                      <w:szCs w:val="24"/>
                    </w:rPr>
                    <w:t>-лімфоцитів, підвищенням CD8</w:t>
                  </w:r>
                  <w:r w:rsidRPr="004352A7">
                    <w:rPr>
                      <w:rFonts w:ascii="Times New Roman" w:eastAsia="Times New Roman" w:hAnsi="Times New Roman" w:cs="Times New Roman"/>
                      <w:sz w:val="24"/>
                      <w:szCs w:val="24"/>
                      <w:vertAlign w:val="superscript"/>
                    </w:rPr>
                    <w:t>+</w:t>
                  </w:r>
                  <w:r w:rsidRPr="004352A7">
                    <w:rPr>
                      <w:rFonts w:ascii="Times New Roman" w:eastAsia="Times New Roman" w:hAnsi="Times New Roman" w:cs="Times New Roman"/>
                      <w:sz w:val="24"/>
                      <w:szCs w:val="24"/>
                    </w:rPr>
                    <w:t>- і CD16</w:t>
                  </w:r>
                  <w:r w:rsidRPr="004352A7">
                    <w:rPr>
                      <w:rFonts w:ascii="Times New Roman" w:eastAsia="Times New Roman" w:hAnsi="Times New Roman" w:cs="Times New Roman"/>
                      <w:sz w:val="24"/>
                      <w:szCs w:val="24"/>
                      <w:vertAlign w:val="superscript"/>
                    </w:rPr>
                    <w:t>+</w:t>
                  </w:r>
                  <w:r w:rsidRPr="004352A7">
                    <w:rPr>
                      <w:rFonts w:ascii="Times New Roman" w:eastAsia="Times New Roman" w:hAnsi="Times New Roman" w:cs="Times New Roman"/>
                      <w:sz w:val="24"/>
                      <w:szCs w:val="24"/>
                    </w:rPr>
                    <w:t>-клітин. При несприятливому перебігу відмічається менше підвищення інтерлейкінів, більш суттєве зниження CD3</w:t>
                  </w:r>
                  <w:r w:rsidRPr="004352A7">
                    <w:rPr>
                      <w:rFonts w:ascii="Times New Roman" w:eastAsia="Times New Roman" w:hAnsi="Times New Roman" w:cs="Times New Roman"/>
                      <w:sz w:val="24"/>
                      <w:szCs w:val="24"/>
                      <w:vertAlign w:val="superscript"/>
                    </w:rPr>
                    <w:t>+</w:t>
                  </w:r>
                  <w:r w:rsidRPr="004352A7">
                    <w:rPr>
                      <w:rFonts w:ascii="Times New Roman" w:eastAsia="Times New Roman" w:hAnsi="Times New Roman" w:cs="Times New Roman"/>
                      <w:sz w:val="24"/>
                      <w:szCs w:val="24"/>
                    </w:rPr>
                    <w:t>- і CD19</w:t>
                  </w:r>
                  <w:r w:rsidRPr="004352A7">
                    <w:rPr>
                      <w:rFonts w:ascii="Times New Roman" w:eastAsia="Times New Roman" w:hAnsi="Times New Roman" w:cs="Times New Roman"/>
                      <w:sz w:val="24"/>
                      <w:szCs w:val="24"/>
                      <w:vertAlign w:val="superscript"/>
                    </w:rPr>
                    <w:t>+</w:t>
                  </w:r>
                  <w:r w:rsidRPr="004352A7">
                    <w:rPr>
                      <w:rFonts w:ascii="Times New Roman" w:eastAsia="Times New Roman" w:hAnsi="Times New Roman" w:cs="Times New Roman"/>
                      <w:sz w:val="24"/>
                      <w:szCs w:val="24"/>
                    </w:rPr>
                    <w:t>-лімфоцитів, а також зниження IgA, IgG та підвищення CD8</w:t>
                  </w:r>
                  <w:r w:rsidRPr="004352A7">
                    <w:rPr>
                      <w:rFonts w:ascii="Times New Roman" w:eastAsia="Times New Roman" w:hAnsi="Times New Roman" w:cs="Times New Roman"/>
                      <w:sz w:val="24"/>
                      <w:szCs w:val="24"/>
                      <w:vertAlign w:val="superscript"/>
                    </w:rPr>
                    <w:t>+</w:t>
                  </w:r>
                  <w:r w:rsidRPr="004352A7">
                    <w:rPr>
                      <w:rFonts w:ascii="Times New Roman" w:eastAsia="Times New Roman" w:hAnsi="Times New Roman" w:cs="Times New Roman"/>
                      <w:sz w:val="24"/>
                      <w:szCs w:val="24"/>
                    </w:rPr>
                    <w:t>- і CD16</w:t>
                  </w:r>
                  <w:r w:rsidRPr="004352A7">
                    <w:rPr>
                      <w:rFonts w:ascii="Times New Roman" w:eastAsia="Times New Roman" w:hAnsi="Times New Roman" w:cs="Times New Roman"/>
                      <w:sz w:val="24"/>
                      <w:szCs w:val="24"/>
                      <w:vertAlign w:val="superscript"/>
                    </w:rPr>
                    <w:t>+</w:t>
                  </w:r>
                  <w:r w:rsidRPr="004352A7">
                    <w:rPr>
                      <w:rFonts w:ascii="Times New Roman" w:eastAsia="Times New Roman" w:hAnsi="Times New Roman" w:cs="Times New Roman"/>
                      <w:sz w:val="24"/>
                      <w:szCs w:val="24"/>
                    </w:rPr>
                    <w:t>-клітин.</w:t>
                  </w:r>
                </w:p>
                <w:p w14:paraId="24B8B08B" w14:textId="77777777" w:rsidR="004352A7" w:rsidRPr="004352A7" w:rsidRDefault="004352A7" w:rsidP="00EB1EF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52A7">
                    <w:rPr>
                      <w:rFonts w:ascii="Times New Roman" w:eastAsia="Times New Roman" w:hAnsi="Times New Roman" w:cs="Times New Roman"/>
                      <w:sz w:val="24"/>
                      <w:szCs w:val="24"/>
                    </w:rPr>
                    <w:lastRenderedPageBreak/>
                    <w:t>Виявлено розходження патогенетичної основи функціонування організму хворих з різним перебігом сальмонельозу. Визначено два типи саногенезу: нормореактивний тип, який забезпечує сприятливий перебіг і гіперреактивний на рівні імунної системи з дефіцитом компенсації на рівні організму, при якому формується несприятливий перебіг захворювання. Найбільш інформативними прогностичними критеріями слід вважати імунологічні параметри, в першу чергу, вміст інтерлейкінів.</w:t>
                  </w:r>
                </w:p>
              </w:tc>
            </w:tr>
          </w:tbl>
          <w:p w14:paraId="6F621CDE" w14:textId="77777777" w:rsidR="004352A7" w:rsidRPr="004352A7" w:rsidRDefault="004352A7" w:rsidP="004352A7">
            <w:pPr>
              <w:spacing w:after="0" w:line="240" w:lineRule="auto"/>
              <w:rPr>
                <w:rFonts w:ascii="Times New Roman" w:eastAsia="Times New Roman" w:hAnsi="Times New Roman" w:cs="Times New Roman"/>
                <w:sz w:val="24"/>
                <w:szCs w:val="24"/>
              </w:rPr>
            </w:pPr>
          </w:p>
        </w:tc>
      </w:tr>
    </w:tbl>
    <w:p w14:paraId="5228F354" w14:textId="77777777" w:rsidR="004352A7" w:rsidRPr="004352A7" w:rsidRDefault="004352A7" w:rsidP="004352A7"/>
    <w:sectPr w:rsidR="004352A7" w:rsidRPr="004352A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8D52E" w14:textId="77777777" w:rsidR="00EB1EF4" w:rsidRDefault="00EB1EF4">
      <w:pPr>
        <w:spacing w:after="0" w:line="240" w:lineRule="auto"/>
      </w:pPr>
      <w:r>
        <w:separator/>
      </w:r>
    </w:p>
  </w:endnote>
  <w:endnote w:type="continuationSeparator" w:id="0">
    <w:p w14:paraId="7A472E89" w14:textId="77777777" w:rsidR="00EB1EF4" w:rsidRDefault="00EB1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B84EC" w14:textId="77777777" w:rsidR="00EB1EF4" w:rsidRDefault="00EB1EF4">
      <w:pPr>
        <w:spacing w:after="0" w:line="240" w:lineRule="auto"/>
      </w:pPr>
      <w:r>
        <w:separator/>
      </w:r>
    </w:p>
  </w:footnote>
  <w:footnote w:type="continuationSeparator" w:id="0">
    <w:p w14:paraId="69BCB328" w14:textId="77777777" w:rsidR="00EB1EF4" w:rsidRDefault="00EB1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B1EF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D2DBA"/>
    <w:multiLevelType w:val="multilevel"/>
    <w:tmpl w:val="D178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55"/>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27"/>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2C"/>
    <w:rsid w:val="002E20E8"/>
    <w:rsid w:val="002E2291"/>
    <w:rsid w:val="002E23D5"/>
    <w:rsid w:val="002E2649"/>
    <w:rsid w:val="002E265E"/>
    <w:rsid w:val="002E2873"/>
    <w:rsid w:val="002E2921"/>
    <w:rsid w:val="002E2D34"/>
    <w:rsid w:val="002E2DDA"/>
    <w:rsid w:val="002E2E03"/>
    <w:rsid w:val="002E2E44"/>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2E56"/>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9C"/>
    <w:rsid w:val="004A40E3"/>
    <w:rsid w:val="004A4383"/>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2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1EF4"/>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77788"/>
    <w:rsid w:val="00F8000F"/>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7DA"/>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107589</TotalTime>
  <Pages>3</Pages>
  <Words>596</Words>
  <Characters>3401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1638</cp:revision>
  <dcterms:created xsi:type="dcterms:W3CDTF">2024-06-20T08:51:00Z</dcterms:created>
  <dcterms:modified xsi:type="dcterms:W3CDTF">2024-12-27T05:09:00Z</dcterms:modified>
  <cp:category/>
</cp:coreProperties>
</file>