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4C4CD" w14:textId="77777777" w:rsidR="003D58E2" w:rsidRPr="003D58E2" w:rsidRDefault="003D58E2" w:rsidP="003D58E2">
      <w:pPr>
        <w:rPr>
          <w:rFonts w:ascii="Helvetica" w:eastAsia="Symbol" w:hAnsi="Helvetica" w:cs="Helvetica"/>
          <w:b/>
          <w:bCs/>
          <w:color w:val="222222"/>
          <w:kern w:val="0"/>
          <w:sz w:val="21"/>
          <w:szCs w:val="21"/>
          <w:lang w:eastAsia="ru-RU"/>
        </w:rPr>
      </w:pPr>
      <w:r w:rsidRPr="003D58E2">
        <w:rPr>
          <w:rFonts w:ascii="Helvetica" w:eastAsia="Symbol" w:hAnsi="Helvetica" w:cs="Helvetica"/>
          <w:b/>
          <w:bCs/>
          <w:color w:val="222222"/>
          <w:kern w:val="0"/>
          <w:sz w:val="21"/>
          <w:szCs w:val="21"/>
          <w:lang w:eastAsia="ru-RU"/>
        </w:rPr>
        <w:t>Самарян, Александр Алексеевич.</w:t>
      </w:r>
    </w:p>
    <w:p w14:paraId="417ECC75" w14:textId="77777777" w:rsidR="003D58E2" w:rsidRPr="003D58E2" w:rsidRDefault="003D58E2" w:rsidP="003D58E2">
      <w:pPr>
        <w:rPr>
          <w:rFonts w:ascii="Helvetica" w:eastAsia="Symbol" w:hAnsi="Helvetica" w:cs="Helvetica"/>
          <w:b/>
          <w:bCs/>
          <w:color w:val="222222"/>
          <w:kern w:val="0"/>
          <w:sz w:val="21"/>
          <w:szCs w:val="21"/>
          <w:lang w:eastAsia="ru-RU"/>
        </w:rPr>
      </w:pPr>
      <w:r w:rsidRPr="003D58E2">
        <w:rPr>
          <w:rFonts w:ascii="Helvetica" w:eastAsia="Symbol" w:hAnsi="Helvetica" w:cs="Helvetica"/>
          <w:b/>
          <w:bCs/>
          <w:color w:val="222222"/>
          <w:kern w:val="0"/>
          <w:sz w:val="21"/>
          <w:szCs w:val="21"/>
          <w:lang w:eastAsia="ru-RU"/>
        </w:rPr>
        <w:t xml:space="preserve">Оптическая диагностика конверсии частиц твердых топлив в низкотемпературной </w:t>
      </w:r>
      <w:proofErr w:type="gramStart"/>
      <w:r w:rsidRPr="003D58E2">
        <w:rPr>
          <w:rFonts w:ascii="Helvetica" w:eastAsia="Symbol" w:hAnsi="Helvetica" w:cs="Helvetica"/>
          <w:b/>
          <w:bCs/>
          <w:color w:val="222222"/>
          <w:kern w:val="0"/>
          <w:sz w:val="21"/>
          <w:szCs w:val="21"/>
          <w:lang w:eastAsia="ru-RU"/>
        </w:rPr>
        <w:t>плазме :</w:t>
      </w:r>
      <w:proofErr w:type="gramEnd"/>
      <w:r w:rsidRPr="003D58E2">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01.04.14. - Москва, 1997. - 138 с.</w:t>
      </w:r>
    </w:p>
    <w:p w14:paraId="38767221" w14:textId="77777777" w:rsidR="003D58E2" w:rsidRPr="003D58E2" w:rsidRDefault="003D58E2" w:rsidP="003D58E2">
      <w:pPr>
        <w:rPr>
          <w:rFonts w:ascii="Helvetica" w:eastAsia="Symbol" w:hAnsi="Helvetica" w:cs="Helvetica"/>
          <w:b/>
          <w:bCs/>
          <w:color w:val="222222"/>
          <w:kern w:val="0"/>
          <w:sz w:val="21"/>
          <w:szCs w:val="21"/>
          <w:lang w:eastAsia="ru-RU"/>
        </w:rPr>
      </w:pPr>
      <w:r w:rsidRPr="003D58E2">
        <w:rPr>
          <w:rFonts w:ascii="Helvetica" w:eastAsia="Symbol" w:hAnsi="Helvetica" w:cs="Helvetica"/>
          <w:b/>
          <w:bCs/>
          <w:color w:val="222222"/>
          <w:kern w:val="0"/>
          <w:sz w:val="21"/>
          <w:szCs w:val="21"/>
          <w:lang w:eastAsia="ru-RU"/>
        </w:rPr>
        <w:t xml:space="preserve">Оглавление </w:t>
      </w:r>
      <w:proofErr w:type="spellStart"/>
      <w:r w:rsidRPr="003D58E2">
        <w:rPr>
          <w:rFonts w:ascii="Helvetica" w:eastAsia="Symbol" w:hAnsi="Helvetica" w:cs="Helvetica"/>
          <w:b/>
          <w:bCs/>
          <w:color w:val="222222"/>
          <w:kern w:val="0"/>
          <w:sz w:val="21"/>
          <w:szCs w:val="21"/>
          <w:lang w:eastAsia="ru-RU"/>
        </w:rPr>
        <w:t>диссертациикандидат</w:t>
      </w:r>
      <w:proofErr w:type="spellEnd"/>
      <w:r w:rsidRPr="003D58E2">
        <w:rPr>
          <w:rFonts w:ascii="Helvetica" w:eastAsia="Symbol" w:hAnsi="Helvetica" w:cs="Helvetica"/>
          <w:b/>
          <w:bCs/>
          <w:color w:val="222222"/>
          <w:kern w:val="0"/>
          <w:sz w:val="21"/>
          <w:szCs w:val="21"/>
          <w:lang w:eastAsia="ru-RU"/>
        </w:rPr>
        <w:t xml:space="preserve"> физико-математических наук Самарян, Александр Алексеевич</w:t>
      </w:r>
    </w:p>
    <w:p w14:paraId="33053CB9" w14:textId="77777777" w:rsidR="003D58E2" w:rsidRPr="003D58E2" w:rsidRDefault="003D58E2" w:rsidP="003D58E2">
      <w:pPr>
        <w:rPr>
          <w:rFonts w:ascii="Helvetica" w:eastAsia="Symbol" w:hAnsi="Helvetica" w:cs="Helvetica"/>
          <w:b/>
          <w:bCs/>
          <w:color w:val="222222"/>
          <w:kern w:val="0"/>
          <w:sz w:val="21"/>
          <w:szCs w:val="21"/>
          <w:lang w:eastAsia="ru-RU"/>
        </w:rPr>
      </w:pPr>
      <w:r w:rsidRPr="003D58E2">
        <w:rPr>
          <w:rFonts w:ascii="Helvetica" w:eastAsia="Symbol" w:hAnsi="Helvetica" w:cs="Helvetica"/>
          <w:b/>
          <w:bCs/>
          <w:color w:val="222222"/>
          <w:kern w:val="0"/>
          <w:sz w:val="21"/>
          <w:szCs w:val="21"/>
          <w:lang w:eastAsia="ru-RU"/>
        </w:rPr>
        <w:t>ВВЕДЕНИЕ</w:t>
      </w:r>
    </w:p>
    <w:p w14:paraId="6AF74BCA" w14:textId="77777777" w:rsidR="003D58E2" w:rsidRPr="003D58E2" w:rsidRDefault="003D58E2" w:rsidP="003D58E2">
      <w:pPr>
        <w:rPr>
          <w:rFonts w:ascii="Helvetica" w:eastAsia="Symbol" w:hAnsi="Helvetica" w:cs="Helvetica"/>
          <w:b/>
          <w:bCs/>
          <w:color w:val="222222"/>
          <w:kern w:val="0"/>
          <w:sz w:val="21"/>
          <w:szCs w:val="21"/>
          <w:lang w:eastAsia="ru-RU"/>
        </w:rPr>
      </w:pPr>
      <w:r w:rsidRPr="003D58E2">
        <w:rPr>
          <w:rFonts w:ascii="Helvetica" w:eastAsia="Symbol" w:hAnsi="Helvetica" w:cs="Helvetica"/>
          <w:b/>
          <w:bCs/>
          <w:color w:val="222222"/>
          <w:kern w:val="0"/>
          <w:sz w:val="21"/>
          <w:szCs w:val="21"/>
          <w:lang w:eastAsia="ru-RU"/>
        </w:rPr>
        <w:t>ГЛАВА 1. Конверсия мелкодисперсного твердого топлива.</w:t>
      </w:r>
    </w:p>
    <w:p w14:paraId="2C236245" w14:textId="77777777" w:rsidR="003D58E2" w:rsidRPr="003D58E2" w:rsidRDefault="003D58E2" w:rsidP="003D58E2">
      <w:pPr>
        <w:rPr>
          <w:rFonts w:ascii="Helvetica" w:eastAsia="Symbol" w:hAnsi="Helvetica" w:cs="Helvetica"/>
          <w:b/>
          <w:bCs/>
          <w:color w:val="222222"/>
          <w:kern w:val="0"/>
          <w:sz w:val="21"/>
          <w:szCs w:val="21"/>
          <w:lang w:eastAsia="ru-RU"/>
        </w:rPr>
      </w:pPr>
      <w:r w:rsidRPr="003D58E2">
        <w:rPr>
          <w:rFonts w:ascii="Helvetica" w:eastAsia="Symbol" w:hAnsi="Helvetica" w:cs="Helvetica"/>
          <w:b/>
          <w:bCs/>
          <w:color w:val="222222"/>
          <w:kern w:val="0"/>
          <w:sz w:val="21"/>
          <w:szCs w:val="21"/>
          <w:lang w:eastAsia="ru-RU"/>
        </w:rPr>
        <w:t>1.1. Процессы конверсии твердого топлива.</w:t>
      </w:r>
    </w:p>
    <w:p w14:paraId="647DBB78" w14:textId="77777777" w:rsidR="003D58E2" w:rsidRPr="003D58E2" w:rsidRDefault="003D58E2" w:rsidP="003D58E2">
      <w:pPr>
        <w:rPr>
          <w:rFonts w:ascii="Helvetica" w:eastAsia="Symbol" w:hAnsi="Helvetica" w:cs="Helvetica"/>
          <w:b/>
          <w:bCs/>
          <w:color w:val="222222"/>
          <w:kern w:val="0"/>
          <w:sz w:val="21"/>
          <w:szCs w:val="21"/>
          <w:lang w:eastAsia="ru-RU"/>
        </w:rPr>
      </w:pPr>
      <w:r w:rsidRPr="003D58E2">
        <w:rPr>
          <w:rFonts w:ascii="Helvetica" w:eastAsia="Symbol" w:hAnsi="Helvetica" w:cs="Helvetica"/>
          <w:b/>
          <w:bCs/>
          <w:color w:val="222222"/>
          <w:kern w:val="0"/>
          <w:sz w:val="21"/>
          <w:szCs w:val="21"/>
          <w:lang w:eastAsia="ru-RU"/>
        </w:rPr>
        <w:t>1.1.1 Макромодель реагирования частиц твердых топлив</w:t>
      </w:r>
    </w:p>
    <w:p w14:paraId="468DD298" w14:textId="77777777" w:rsidR="003D58E2" w:rsidRPr="003D58E2" w:rsidRDefault="003D58E2" w:rsidP="003D58E2">
      <w:pPr>
        <w:rPr>
          <w:rFonts w:ascii="Helvetica" w:eastAsia="Symbol" w:hAnsi="Helvetica" w:cs="Helvetica"/>
          <w:b/>
          <w:bCs/>
          <w:color w:val="222222"/>
          <w:kern w:val="0"/>
          <w:sz w:val="21"/>
          <w:szCs w:val="21"/>
          <w:lang w:eastAsia="ru-RU"/>
        </w:rPr>
      </w:pPr>
      <w:r w:rsidRPr="003D58E2">
        <w:rPr>
          <w:rFonts w:ascii="Helvetica" w:eastAsia="Symbol" w:hAnsi="Helvetica" w:cs="Helvetica"/>
          <w:b/>
          <w:bCs/>
          <w:color w:val="222222"/>
          <w:kern w:val="0"/>
          <w:sz w:val="21"/>
          <w:szCs w:val="21"/>
          <w:lang w:eastAsia="ru-RU"/>
        </w:rPr>
        <w:t>1.1.2 Кинетика газификации</w:t>
      </w:r>
    </w:p>
    <w:p w14:paraId="49D4EF8E" w14:textId="77777777" w:rsidR="003D58E2" w:rsidRPr="003D58E2" w:rsidRDefault="003D58E2" w:rsidP="003D58E2">
      <w:pPr>
        <w:rPr>
          <w:rFonts w:ascii="Helvetica" w:eastAsia="Symbol" w:hAnsi="Helvetica" w:cs="Helvetica"/>
          <w:b/>
          <w:bCs/>
          <w:color w:val="222222"/>
          <w:kern w:val="0"/>
          <w:sz w:val="21"/>
          <w:szCs w:val="21"/>
          <w:lang w:eastAsia="ru-RU"/>
        </w:rPr>
      </w:pPr>
      <w:r w:rsidRPr="003D58E2">
        <w:rPr>
          <w:rFonts w:ascii="Helvetica" w:eastAsia="Symbol" w:hAnsi="Helvetica" w:cs="Helvetica"/>
          <w:b/>
          <w:bCs/>
          <w:color w:val="222222"/>
          <w:kern w:val="0"/>
          <w:sz w:val="21"/>
          <w:szCs w:val="21"/>
          <w:lang w:eastAsia="ru-RU"/>
        </w:rPr>
        <w:t>1.1.3 Режимы гетерогенного реагирования</w:t>
      </w:r>
    </w:p>
    <w:p w14:paraId="08F6E85D" w14:textId="77777777" w:rsidR="003D58E2" w:rsidRPr="003D58E2" w:rsidRDefault="003D58E2" w:rsidP="003D58E2">
      <w:pPr>
        <w:rPr>
          <w:rFonts w:ascii="Helvetica" w:eastAsia="Symbol" w:hAnsi="Helvetica" w:cs="Helvetica"/>
          <w:b/>
          <w:bCs/>
          <w:color w:val="222222"/>
          <w:kern w:val="0"/>
          <w:sz w:val="21"/>
          <w:szCs w:val="21"/>
          <w:lang w:eastAsia="ru-RU"/>
        </w:rPr>
      </w:pPr>
      <w:r w:rsidRPr="003D58E2">
        <w:rPr>
          <w:rFonts w:ascii="Helvetica" w:eastAsia="Symbol" w:hAnsi="Helvetica" w:cs="Helvetica"/>
          <w:b/>
          <w:bCs/>
          <w:color w:val="222222"/>
          <w:kern w:val="0"/>
          <w:sz w:val="21"/>
          <w:szCs w:val="21"/>
          <w:lang w:eastAsia="ru-RU"/>
        </w:rPr>
        <w:t>1.2. Методы изучения процессов конверсии мелкодисперсного топлива.</w:t>
      </w:r>
    </w:p>
    <w:p w14:paraId="033D0018" w14:textId="77777777" w:rsidR="003D58E2" w:rsidRPr="003D58E2" w:rsidRDefault="003D58E2" w:rsidP="003D58E2">
      <w:pPr>
        <w:rPr>
          <w:rFonts w:ascii="Helvetica" w:eastAsia="Symbol" w:hAnsi="Helvetica" w:cs="Helvetica"/>
          <w:b/>
          <w:bCs/>
          <w:color w:val="222222"/>
          <w:kern w:val="0"/>
          <w:sz w:val="21"/>
          <w:szCs w:val="21"/>
          <w:lang w:eastAsia="ru-RU"/>
        </w:rPr>
      </w:pPr>
      <w:r w:rsidRPr="003D58E2">
        <w:rPr>
          <w:rFonts w:ascii="Helvetica" w:eastAsia="Symbol" w:hAnsi="Helvetica" w:cs="Helvetica"/>
          <w:b/>
          <w:bCs/>
          <w:color w:val="222222"/>
          <w:kern w:val="0"/>
          <w:sz w:val="21"/>
          <w:szCs w:val="21"/>
          <w:lang w:eastAsia="ru-RU"/>
        </w:rPr>
        <w:t>1.2.1 Определение кинетических констант при воспламенении угольных частиц</w:t>
      </w:r>
    </w:p>
    <w:p w14:paraId="5639570F" w14:textId="77777777" w:rsidR="003D58E2" w:rsidRPr="003D58E2" w:rsidRDefault="003D58E2" w:rsidP="003D58E2">
      <w:pPr>
        <w:rPr>
          <w:rFonts w:ascii="Helvetica" w:eastAsia="Symbol" w:hAnsi="Helvetica" w:cs="Helvetica"/>
          <w:b/>
          <w:bCs/>
          <w:color w:val="222222"/>
          <w:kern w:val="0"/>
          <w:sz w:val="21"/>
          <w:szCs w:val="21"/>
          <w:lang w:eastAsia="ru-RU"/>
        </w:rPr>
      </w:pPr>
      <w:r w:rsidRPr="003D58E2">
        <w:rPr>
          <w:rFonts w:ascii="Helvetica" w:eastAsia="Symbol" w:hAnsi="Helvetica" w:cs="Helvetica"/>
          <w:b/>
          <w:bCs/>
          <w:color w:val="222222"/>
          <w:kern w:val="0"/>
          <w:sz w:val="21"/>
          <w:szCs w:val="21"/>
          <w:lang w:eastAsia="ru-RU"/>
        </w:rPr>
        <w:t>1.2.2 Определение кинетических констант при конверсии угольных частиц</w:t>
      </w:r>
    </w:p>
    <w:p w14:paraId="70CDB915" w14:textId="77777777" w:rsidR="003D58E2" w:rsidRPr="003D58E2" w:rsidRDefault="003D58E2" w:rsidP="003D58E2">
      <w:pPr>
        <w:rPr>
          <w:rFonts w:ascii="Helvetica" w:eastAsia="Symbol" w:hAnsi="Helvetica" w:cs="Helvetica"/>
          <w:b/>
          <w:bCs/>
          <w:color w:val="222222"/>
          <w:kern w:val="0"/>
          <w:sz w:val="21"/>
          <w:szCs w:val="21"/>
          <w:lang w:eastAsia="ru-RU"/>
        </w:rPr>
      </w:pPr>
      <w:r w:rsidRPr="003D58E2">
        <w:rPr>
          <w:rFonts w:ascii="Helvetica" w:eastAsia="Symbol" w:hAnsi="Helvetica" w:cs="Helvetica"/>
          <w:b/>
          <w:bCs/>
          <w:color w:val="222222"/>
          <w:kern w:val="0"/>
          <w:sz w:val="21"/>
          <w:szCs w:val="21"/>
          <w:lang w:eastAsia="ru-RU"/>
        </w:rPr>
        <w:t>1.2.3 Конверсия частиц в низкотемпературной плазме</w:t>
      </w:r>
    </w:p>
    <w:p w14:paraId="3869883D" w14:textId="38BB60FF" w:rsidR="00F11235" w:rsidRPr="003D58E2" w:rsidRDefault="00F11235" w:rsidP="003D58E2"/>
    <w:sectPr w:rsidR="00F11235" w:rsidRPr="003D58E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1D64F" w14:textId="77777777" w:rsidR="00270376" w:rsidRDefault="00270376">
      <w:pPr>
        <w:spacing w:after="0" w:line="240" w:lineRule="auto"/>
      </w:pPr>
      <w:r>
        <w:separator/>
      </w:r>
    </w:p>
  </w:endnote>
  <w:endnote w:type="continuationSeparator" w:id="0">
    <w:p w14:paraId="71232C4A" w14:textId="77777777" w:rsidR="00270376" w:rsidRDefault="00270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BDE99" w14:textId="77777777" w:rsidR="00270376" w:rsidRDefault="00270376"/>
    <w:p w14:paraId="3B078181" w14:textId="77777777" w:rsidR="00270376" w:rsidRDefault="00270376"/>
    <w:p w14:paraId="29FFF753" w14:textId="77777777" w:rsidR="00270376" w:rsidRDefault="00270376"/>
    <w:p w14:paraId="5BBFED3D" w14:textId="77777777" w:rsidR="00270376" w:rsidRDefault="00270376"/>
    <w:p w14:paraId="6CFD1EF0" w14:textId="77777777" w:rsidR="00270376" w:rsidRDefault="00270376"/>
    <w:p w14:paraId="4598DEF7" w14:textId="77777777" w:rsidR="00270376" w:rsidRDefault="00270376"/>
    <w:p w14:paraId="14AE7449" w14:textId="77777777" w:rsidR="00270376" w:rsidRDefault="002703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8C745C" wp14:editId="1758BB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B450D" w14:textId="77777777" w:rsidR="00270376" w:rsidRDefault="002703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8C74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6B450D" w14:textId="77777777" w:rsidR="00270376" w:rsidRDefault="002703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AFE419" w14:textId="77777777" w:rsidR="00270376" w:rsidRDefault="00270376"/>
    <w:p w14:paraId="0DCE42D1" w14:textId="77777777" w:rsidR="00270376" w:rsidRDefault="00270376"/>
    <w:p w14:paraId="3CE5F416" w14:textId="77777777" w:rsidR="00270376" w:rsidRDefault="002703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2C3AAB" wp14:editId="35D3981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B8EBF" w14:textId="77777777" w:rsidR="00270376" w:rsidRDefault="00270376"/>
                          <w:p w14:paraId="424FF257" w14:textId="77777777" w:rsidR="00270376" w:rsidRDefault="002703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2C3A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6B8EBF" w14:textId="77777777" w:rsidR="00270376" w:rsidRDefault="00270376"/>
                    <w:p w14:paraId="424FF257" w14:textId="77777777" w:rsidR="00270376" w:rsidRDefault="002703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D1D79E" w14:textId="77777777" w:rsidR="00270376" w:rsidRDefault="00270376"/>
    <w:p w14:paraId="7949AA40" w14:textId="77777777" w:rsidR="00270376" w:rsidRDefault="00270376">
      <w:pPr>
        <w:rPr>
          <w:sz w:val="2"/>
          <w:szCs w:val="2"/>
        </w:rPr>
      </w:pPr>
    </w:p>
    <w:p w14:paraId="1A1561FF" w14:textId="77777777" w:rsidR="00270376" w:rsidRDefault="00270376"/>
    <w:p w14:paraId="415D3A25" w14:textId="77777777" w:rsidR="00270376" w:rsidRDefault="00270376">
      <w:pPr>
        <w:spacing w:after="0" w:line="240" w:lineRule="auto"/>
      </w:pPr>
    </w:p>
  </w:footnote>
  <w:footnote w:type="continuationSeparator" w:id="0">
    <w:p w14:paraId="4A5B114F" w14:textId="77777777" w:rsidR="00270376" w:rsidRDefault="00270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376"/>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169212</TotalTime>
  <Pages>1</Pages>
  <Words>118</Words>
  <Characters>674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5383</cp:revision>
  <cp:lastPrinted>2009-02-06T05:36:00Z</cp:lastPrinted>
  <dcterms:created xsi:type="dcterms:W3CDTF">2024-01-07T13:43:00Z</dcterms:created>
  <dcterms:modified xsi:type="dcterms:W3CDTF">2025-09-25T18:15:00Z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