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50" w:rsidRPr="00677F50" w:rsidRDefault="00677F50" w:rsidP="00677F5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677F50">
        <w:rPr>
          <w:rFonts w:ascii="Arial" w:hAnsi="Arial" w:cs="Arial"/>
          <w:b/>
          <w:bCs/>
          <w:color w:val="000000"/>
          <w:kern w:val="0"/>
          <w:sz w:val="28"/>
          <w:szCs w:val="28"/>
          <w:lang w:eastAsia="ru-RU"/>
        </w:rPr>
        <w:t>Кольц Ілга Петрівна</w:t>
      </w:r>
      <w:r w:rsidRPr="00677F50">
        <w:rPr>
          <w:rFonts w:ascii="Arial" w:hAnsi="Arial" w:cs="Arial"/>
          <w:color w:val="000000"/>
          <w:kern w:val="0"/>
          <w:sz w:val="28"/>
          <w:szCs w:val="28"/>
          <w:lang w:eastAsia="ru-RU"/>
        </w:rPr>
        <w:t xml:space="preserve">, викладач циклової комісії «Народно-інструментальне мистецтво» Миколаївського фахового коледжу культури і мистецтв, тема дисертації: «Миколаївська домрова школа в контексті професійного народно-інструментального мистецтва Півдня України XX – XXI століття», (025 Музичне мистецтво). Спеціалізована вчена рада ДФ 26.850.003 Національної академії керівних кадрів культури і мистецтв </w:t>
      </w:r>
    </w:p>
    <w:p w:rsidR="00C26D80" w:rsidRPr="00677F50" w:rsidRDefault="00C26D80" w:rsidP="00677F50"/>
    <w:sectPr w:rsidR="00C26D80" w:rsidRPr="00677F5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677F50" w:rsidRPr="00677F5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0F82C-C21A-4971-B6ED-265E7960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193</cp:revision>
  <cp:lastPrinted>2009-02-06T05:36:00Z</cp:lastPrinted>
  <dcterms:created xsi:type="dcterms:W3CDTF">2021-10-09T12:28:00Z</dcterms:created>
  <dcterms:modified xsi:type="dcterms:W3CDTF">2021-10-15T14:10:00Z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