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93D8" w14:textId="77777777" w:rsidR="00ED1432" w:rsidRDefault="00ED1432" w:rsidP="00ED1432">
      <w:pPr>
        <w:pStyle w:val="afffffffffffffffffffffffffff5"/>
        <w:rPr>
          <w:rFonts w:ascii="Verdana" w:hAnsi="Verdana"/>
          <w:color w:val="000000"/>
          <w:sz w:val="21"/>
          <w:szCs w:val="21"/>
        </w:rPr>
      </w:pPr>
      <w:r>
        <w:rPr>
          <w:rFonts w:ascii="Helvetica" w:hAnsi="Helvetica" w:cs="Helvetica"/>
          <w:b/>
          <w:bCs w:val="0"/>
          <w:color w:val="222222"/>
          <w:sz w:val="21"/>
          <w:szCs w:val="21"/>
        </w:rPr>
        <w:t>Джус, Илья Владимирович.</w:t>
      </w:r>
    </w:p>
    <w:p w14:paraId="0C1FA3BC" w14:textId="77777777" w:rsidR="00ED1432" w:rsidRDefault="00ED1432" w:rsidP="00ED1432">
      <w:pPr>
        <w:pStyle w:val="20"/>
        <w:spacing w:before="0" w:after="312"/>
        <w:rPr>
          <w:rFonts w:ascii="Arial" w:hAnsi="Arial" w:cs="Arial"/>
          <w:caps/>
          <w:color w:val="333333"/>
          <w:sz w:val="27"/>
          <w:szCs w:val="27"/>
        </w:rPr>
      </w:pPr>
      <w:r>
        <w:rPr>
          <w:rFonts w:ascii="Helvetica" w:hAnsi="Helvetica" w:cs="Helvetica"/>
          <w:caps/>
          <w:color w:val="222222"/>
          <w:sz w:val="21"/>
          <w:szCs w:val="21"/>
        </w:rPr>
        <w:t>Политические риски : Оценка, анализ и управление : диссертация ... кандидата политических наук : 23.00.02, 08.00.01. - Москва, 2002. - 199 с.</w:t>
      </w:r>
    </w:p>
    <w:p w14:paraId="34D91ABF" w14:textId="77777777" w:rsidR="00ED1432" w:rsidRDefault="00ED1432" w:rsidP="00ED143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Джус, Илья Владимирович</w:t>
      </w:r>
    </w:p>
    <w:p w14:paraId="07E3D4C0"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65888A"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 1. Методология анализа политических рисков</w:t>
      </w:r>
    </w:p>
    <w:p w14:paraId="3433F837"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Предпосылки возникновения теории политических рисков</w:t>
      </w:r>
    </w:p>
    <w:p w14:paraId="48C626E7"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Концептуально-понятийный аппарат исследования</w:t>
      </w:r>
    </w:p>
    <w:p w14:paraId="74CF4C59"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Общие подходы к исследованию риска</w:t>
      </w:r>
    </w:p>
    <w:p w14:paraId="4FB0E9C4"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Дефиниции политического риска „</w:t>
      </w:r>
    </w:p>
    <w:p w14:paraId="5104F2B9"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Классификация политических рисков</w:t>
      </w:r>
    </w:p>
    <w:p w14:paraId="45E079F9"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Страновый риск и политический риск</w:t>
      </w:r>
    </w:p>
    <w:p w14:paraId="4FB42C55"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Инвестиционный климат и политические риски</w:t>
      </w:r>
    </w:p>
    <w:p w14:paraId="4E15A1C7"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Общие методологические основания риск-анализа</w:t>
      </w:r>
    </w:p>
    <w:p w14:paraId="2EEC3486"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Пространственно-временные детерминанты риск-анализа</w:t>
      </w:r>
    </w:p>
    <w:p w14:paraId="36A7BB5E"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Политический процесс как объект риск-анализа</w:t>
      </w:r>
    </w:p>
    <w:p w14:paraId="5BCBD1F3"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Политические риски и политическая нестабильность</w:t>
      </w:r>
    </w:p>
    <w:p w14:paraId="35423816"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Политический риск и политическая неопределенность</w:t>
      </w:r>
    </w:p>
    <w:p w14:paraId="486E718B"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Политические циклы деловой активности и политические 70 риски</w:t>
      </w:r>
    </w:p>
    <w:p w14:paraId="5006BB42"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Основные теоретические положения о ТНК</w:t>
      </w:r>
    </w:p>
    <w:p w14:paraId="2D4AC40B"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Парадигма цикла международного производства товара</w:t>
      </w:r>
    </w:p>
    <w:p w14:paraId="284FB782"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Монополистическая конкуренция и несовершенство рынка</w:t>
      </w:r>
    </w:p>
    <w:p w14:paraId="153FC414"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Олигополистическая защита.</w:t>
      </w:r>
    </w:p>
    <w:p w14:paraId="4A52028A"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4.4. Теория интернализации</w:t>
      </w:r>
    </w:p>
    <w:p w14:paraId="473848B7"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Парадигма "летящих гусей"</w:t>
      </w:r>
    </w:p>
    <w:p w14:paraId="554A737D"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Концепция диверсификации и интернационализации</w:t>
      </w:r>
    </w:p>
    <w:p w14:paraId="243D688A"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Конкурентное преимущество наций</w:t>
      </w:r>
    </w:p>
    <w:p w14:paraId="62E03FB6"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4.8. Эклектическая парадигма</w:t>
      </w:r>
    </w:p>
    <w:p w14:paraId="4FF91131"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4.9. Теория международного бизнеса</w:t>
      </w:r>
    </w:p>
    <w:p w14:paraId="21156A1B"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4.10. Теории международного разделения труда</w:t>
      </w:r>
    </w:p>
    <w:p w14:paraId="4D945776"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МЕТОДИКА ОДЕРЖИ ПОЛИТИЧЕСКИХ РИСКОВ</w:t>
      </w:r>
    </w:p>
    <w:p w14:paraId="4EEC38E9"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Подходы к оценке странового риска в международных банках</w:t>
      </w:r>
    </w:p>
    <w:p w14:paraId="575023D3"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Модели оценки политических рисков</w:t>
      </w:r>
    </w:p>
    <w:p w14:paraId="387B460C"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Модель компании BERI (Business Risk Service (BRS))</w:t>
      </w:r>
    </w:p>
    <w:p w14:paraId="6C3AFF84" w14:textId="77777777" w:rsidR="00ED1432" w:rsidRPr="00ED1432" w:rsidRDefault="00ED1432" w:rsidP="00ED1432">
      <w:pPr>
        <w:pStyle w:val="afffffffffffffffffffffffffff5"/>
        <w:spacing w:before="0" w:beforeAutospacing="0" w:after="312" w:afterAutospacing="0"/>
        <w:rPr>
          <w:rFonts w:ascii="Arial" w:hAnsi="Arial" w:cs="Arial"/>
          <w:color w:val="333333"/>
          <w:sz w:val="21"/>
          <w:szCs w:val="21"/>
          <w:lang w:val="en-US"/>
        </w:rPr>
      </w:pPr>
      <w:r w:rsidRPr="00ED1432">
        <w:rPr>
          <w:rFonts w:ascii="Arial" w:hAnsi="Arial" w:cs="Arial"/>
          <w:color w:val="333333"/>
          <w:sz w:val="21"/>
          <w:szCs w:val="21"/>
          <w:lang w:val="en-US"/>
        </w:rPr>
        <w:t xml:space="preserve">2.2. </w:t>
      </w:r>
      <w:r>
        <w:rPr>
          <w:rFonts w:ascii="Arial" w:hAnsi="Arial" w:cs="Arial"/>
          <w:color w:val="333333"/>
          <w:sz w:val="21"/>
          <w:szCs w:val="21"/>
        </w:rPr>
        <w:t>Модель</w:t>
      </w:r>
      <w:r w:rsidRPr="00ED1432">
        <w:rPr>
          <w:rFonts w:ascii="Arial" w:hAnsi="Arial" w:cs="Arial"/>
          <w:color w:val="333333"/>
          <w:sz w:val="21"/>
          <w:szCs w:val="21"/>
          <w:lang w:val="en-US"/>
        </w:rPr>
        <w:t xml:space="preserve"> </w:t>
      </w:r>
      <w:r>
        <w:rPr>
          <w:rFonts w:ascii="Arial" w:hAnsi="Arial" w:cs="Arial"/>
          <w:color w:val="333333"/>
          <w:sz w:val="21"/>
          <w:szCs w:val="21"/>
        </w:rPr>
        <w:t>компании</w:t>
      </w:r>
      <w:r w:rsidRPr="00ED1432">
        <w:rPr>
          <w:rFonts w:ascii="Arial" w:hAnsi="Arial" w:cs="Arial"/>
          <w:color w:val="333333"/>
          <w:sz w:val="21"/>
          <w:szCs w:val="21"/>
          <w:lang w:val="en-US"/>
        </w:rPr>
        <w:t xml:space="preserve"> Futures Group (Political Stability 110 Prospects)</w:t>
      </w:r>
    </w:p>
    <w:p w14:paraId="2E695DE5"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Модель PSSI - Political System Stability Index</w:t>
      </w:r>
    </w:p>
    <w:p w14:paraId="1B43E63F"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Модель Кнудсена (Ecological Approach)</w:t>
      </w:r>
    </w:p>
    <w:p w14:paraId="16E4C060"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Модель Дугласа Хиббса</w:t>
      </w:r>
    </w:p>
    <w:p w14:paraId="60B4F345"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Модель компании Frost&amp;Sullivan (WPRF)</w:t>
      </w:r>
    </w:p>
    <w:p w14:paraId="18E59A73"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Модель компании Institutional Investor</w:t>
      </w:r>
    </w:p>
    <w:p w14:paraId="3B62F556"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Модель компании PRS Group (ICRG - International Country 116 Risk Guide)</w:t>
      </w:r>
    </w:p>
    <w:p w14:paraId="5E6AA9A0"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Модель компании Economist Intelligence Unit (EIU)</w:t>
      </w:r>
    </w:p>
    <w:p w14:paraId="3CFA409B"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2.10. Модель Euromoney</w:t>
      </w:r>
    </w:p>
    <w:p w14:paraId="678D6035"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Модель компании Arthur D. Little Company</w:t>
      </w:r>
    </w:p>
    <w:p w14:paraId="35B0D2A8"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Модель компании Dow Chemical (ESP)</w:t>
      </w:r>
    </w:p>
    <w:p w14:paraId="5B8E451B"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2.13. Модель компании Shell (ASPRO-SPAIR)</w:t>
      </w:r>
    </w:p>
    <w:p w14:paraId="7BFE00FC"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Модель Европейского Банка Реконструкции и Развития 129 (ЕБРР)</w:t>
      </w:r>
    </w:p>
    <w:p w14:paraId="5A78BE21" w14:textId="77777777" w:rsidR="00ED1432" w:rsidRPr="00ED1432" w:rsidRDefault="00ED1432" w:rsidP="00ED1432">
      <w:pPr>
        <w:pStyle w:val="afffffffffffffffffffffffffff5"/>
        <w:spacing w:before="0" w:beforeAutospacing="0" w:after="312" w:afterAutospacing="0"/>
        <w:rPr>
          <w:rFonts w:ascii="Arial" w:hAnsi="Arial" w:cs="Arial"/>
          <w:color w:val="333333"/>
          <w:sz w:val="21"/>
          <w:szCs w:val="21"/>
          <w:lang w:val="en-US"/>
        </w:rPr>
      </w:pPr>
      <w:r w:rsidRPr="00ED1432">
        <w:rPr>
          <w:rFonts w:ascii="Arial" w:hAnsi="Arial" w:cs="Arial"/>
          <w:color w:val="333333"/>
          <w:sz w:val="21"/>
          <w:szCs w:val="21"/>
          <w:lang w:val="en-US"/>
        </w:rPr>
        <w:t xml:space="preserve">2.15. </w:t>
      </w:r>
      <w:r>
        <w:rPr>
          <w:rFonts w:ascii="Arial" w:hAnsi="Arial" w:cs="Arial"/>
          <w:color w:val="333333"/>
          <w:sz w:val="21"/>
          <w:szCs w:val="21"/>
        </w:rPr>
        <w:t>Модель</w:t>
      </w:r>
      <w:r w:rsidRPr="00ED1432">
        <w:rPr>
          <w:rFonts w:ascii="Arial" w:hAnsi="Arial" w:cs="Arial"/>
          <w:color w:val="333333"/>
          <w:sz w:val="21"/>
          <w:szCs w:val="21"/>
          <w:lang w:val="en-US"/>
        </w:rPr>
        <w:t xml:space="preserve"> </w:t>
      </w:r>
      <w:r>
        <w:rPr>
          <w:rFonts w:ascii="Arial" w:hAnsi="Arial" w:cs="Arial"/>
          <w:color w:val="333333"/>
          <w:sz w:val="21"/>
          <w:szCs w:val="21"/>
        </w:rPr>
        <w:t>журнала</w:t>
      </w:r>
      <w:r w:rsidRPr="00ED1432">
        <w:rPr>
          <w:rFonts w:ascii="Arial" w:hAnsi="Arial" w:cs="Arial"/>
          <w:color w:val="333333"/>
          <w:sz w:val="21"/>
          <w:szCs w:val="21"/>
          <w:lang w:val="en-US"/>
        </w:rPr>
        <w:t xml:space="preserve"> The Wall Street Journal (Central European Economic Review (CEER)</w:t>
      </w:r>
    </w:p>
    <w:p w14:paraId="6522D81F"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Модель компании DRI/McGraw-Hill (DRI)</w:t>
      </w:r>
    </w:p>
    <w:p w14:paraId="04C9F8D4"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Оценка политических рисков в деятельности рейтинговых 134 агентств</w:t>
      </w:r>
    </w:p>
    <w:p w14:paraId="535B8F24"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Национальная шкала кредитного рейтинга</w:t>
      </w:r>
    </w:p>
    <w:p w14:paraId="7A8F45C5"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Модель рейтингового агентства "Эксперт РА"</w:t>
      </w:r>
    </w:p>
    <w:p w14:paraId="657493C5"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 3: Управление политическими рисками</w:t>
      </w:r>
    </w:p>
    <w:p w14:paraId="4455DA7C"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Страхование политических рисков</w:t>
      </w:r>
    </w:p>
    <w:p w14:paraId="2CABB2CC"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Рынок частного страхования политических рисков</w:t>
      </w:r>
    </w:p>
    <w:p w14:paraId="51F6F73A"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Государственные страховые институты</w:t>
      </w:r>
    </w:p>
    <w:p w14:paraId="0A7751FA"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Корпорация частных внешних инвестиций США</w:t>
      </w:r>
    </w:p>
    <w:p w14:paraId="1E90987F"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Агентство по многостороннему гарантированию 177 инвестиций</w:t>
      </w:r>
    </w:p>
    <w:p w14:paraId="2C370E37"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Международный арбитраж</w:t>
      </w:r>
    </w:p>
    <w:p w14:paraId="572911CC" w14:textId="77777777" w:rsidR="00ED1432" w:rsidRDefault="00ED1432" w:rsidP="00ED143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Двухсторонние инвестиционные соглашения</w:t>
      </w:r>
    </w:p>
    <w:p w14:paraId="7823CDB0" w14:textId="72BD7067" w:rsidR="00F37380" w:rsidRPr="00ED1432" w:rsidRDefault="00F37380" w:rsidP="00ED1432"/>
    <w:sectPr w:rsidR="00F37380" w:rsidRPr="00ED14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70B6" w14:textId="77777777" w:rsidR="001E778B" w:rsidRDefault="001E778B">
      <w:pPr>
        <w:spacing w:after="0" w:line="240" w:lineRule="auto"/>
      </w:pPr>
      <w:r>
        <w:separator/>
      </w:r>
    </w:p>
  </w:endnote>
  <w:endnote w:type="continuationSeparator" w:id="0">
    <w:p w14:paraId="46EDDDD1" w14:textId="77777777" w:rsidR="001E778B" w:rsidRDefault="001E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9E6CB" w14:textId="77777777" w:rsidR="001E778B" w:rsidRDefault="001E778B"/>
    <w:p w14:paraId="46D7B637" w14:textId="77777777" w:rsidR="001E778B" w:rsidRDefault="001E778B"/>
    <w:p w14:paraId="5C7625DC" w14:textId="77777777" w:rsidR="001E778B" w:rsidRDefault="001E778B"/>
    <w:p w14:paraId="3B974682" w14:textId="77777777" w:rsidR="001E778B" w:rsidRDefault="001E778B"/>
    <w:p w14:paraId="3578BE0C" w14:textId="77777777" w:rsidR="001E778B" w:rsidRDefault="001E778B"/>
    <w:p w14:paraId="741F9D82" w14:textId="77777777" w:rsidR="001E778B" w:rsidRDefault="001E778B"/>
    <w:p w14:paraId="7BEA8B8B" w14:textId="77777777" w:rsidR="001E778B" w:rsidRDefault="001E77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96814D" wp14:editId="34EB68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46F58" w14:textId="77777777" w:rsidR="001E778B" w:rsidRDefault="001E77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681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446F58" w14:textId="77777777" w:rsidR="001E778B" w:rsidRDefault="001E77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F8557E" w14:textId="77777777" w:rsidR="001E778B" w:rsidRDefault="001E778B"/>
    <w:p w14:paraId="24F4C8AC" w14:textId="77777777" w:rsidR="001E778B" w:rsidRDefault="001E778B"/>
    <w:p w14:paraId="5DC338BD" w14:textId="77777777" w:rsidR="001E778B" w:rsidRDefault="001E77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0A3949" wp14:editId="1144728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744F1" w14:textId="77777777" w:rsidR="001E778B" w:rsidRDefault="001E778B"/>
                          <w:p w14:paraId="679CA026" w14:textId="77777777" w:rsidR="001E778B" w:rsidRDefault="001E77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A39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7744F1" w14:textId="77777777" w:rsidR="001E778B" w:rsidRDefault="001E778B"/>
                    <w:p w14:paraId="679CA026" w14:textId="77777777" w:rsidR="001E778B" w:rsidRDefault="001E77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6484BA" w14:textId="77777777" w:rsidR="001E778B" w:rsidRDefault="001E778B"/>
    <w:p w14:paraId="1C4493C9" w14:textId="77777777" w:rsidR="001E778B" w:rsidRDefault="001E778B">
      <w:pPr>
        <w:rPr>
          <w:sz w:val="2"/>
          <w:szCs w:val="2"/>
        </w:rPr>
      </w:pPr>
    </w:p>
    <w:p w14:paraId="0DE6530D" w14:textId="77777777" w:rsidR="001E778B" w:rsidRDefault="001E778B"/>
    <w:p w14:paraId="580CC2B5" w14:textId="77777777" w:rsidR="001E778B" w:rsidRDefault="001E778B">
      <w:pPr>
        <w:spacing w:after="0" w:line="240" w:lineRule="auto"/>
      </w:pPr>
    </w:p>
  </w:footnote>
  <w:footnote w:type="continuationSeparator" w:id="0">
    <w:p w14:paraId="1F3EBCCF" w14:textId="77777777" w:rsidR="001E778B" w:rsidRDefault="001E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78B"/>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BD"/>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76733</TotalTime>
  <Pages>3</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2127</cp:revision>
  <cp:lastPrinted>2009-02-06T05:36:00Z</cp:lastPrinted>
  <dcterms:created xsi:type="dcterms:W3CDTF">2024-01-07T13:43:00Z</dcterms:created>
  <dcterms:modified xsi:type="dcterms:W3CDTF">2025-04-20T17:03:00Z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