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FCF4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Прилуцкий, Александр Михайлович. Семиотическое пространство религиозного дискурса как предмет религиоведческого исследования : диссертация ... доктора философских наук : 09.00.13 / Прилуцкий Александр Михайлович; [Место защиты: Ленингр. гос. обл. ун-т им. А.С. Пушкина].- Санкт-Петербург, 2008.- 449 с.: ил. РГБ ОД, 71 09-9/23</w:t>
      </w:r>
    </w:p>
    <w:p w14:paraId="58AFDFA0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</w:p>
    <w:p w14:paraId="6E22E5CC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</w:p>
    <w:p w14:paraId="4BD6B9CC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Автономное образовательное учреждение высшего</w:t>
      </w:r>
    </w:p>
    <w:p w14:paraId="07A2962A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профессионального образования «Ленинградский государственный</w:t>
      </w:r>
    </w:p>
    <w:p w14:paraId="03676E93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университет имени А.С. Пушкина»</w:t>
      </w:r>
    </w:p>
    <w:p w14:paraId="3209C26A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71 09-9/23</w:t>
      </w:r>
    </w:p>
    <w:p w14:paraId="3B741B26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Прилуцкий Александр Михайлович</w:t>
      </w:r>
    </w:p>
    <w:p w14:paraId="704254F2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СЕМИОТИЧЕСКОЕ ПРОСТРАНСТВО РЕЛИГИОЗНОГО</w:t>
      </w:r>
    </w:p>
    <w:p w14:paraId="3BC1C771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ДИСКУРСА КАК ПРЕДМЕТ РЕЛИГИОВЕДЧЕСКОГО</w:t>
      </w:r>
    </w:p>
    <w:p w14:paraId="140D19E3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ИССЛЕДОВАНИЯ</w:t>
      </w:r>
    </w:p>
    <w:p w14:paraId="55A6D927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09.00.13 - религиоведение, философская антропология и</w:t>
      </w:r>
    </w:p>
    <w:p w14:paraId="7CE59624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философия культуры</w:t>
      </w:r>
    </w:p>
    <w:p w14:paraId="0EBDCF47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Диссертация на соискание ученой степени доктора</w:t>
      </w:r>
    </w:p>
    <w:p w14:paraId="22C5955C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философских наук</w:t>
      </w:r>
    </w:p>
    <w:p w14:paraId="10FFB79A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 xml:space="preserve">№ </w:t>
      </w:r>
    </w:p>
    <w:p w14:paraId="3D3345DE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СОДЕРЖАНИЕ</w:t>
      </w:r>
    </w:p>
    <w:p w14:paraId="730C34F4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ВВЕДЕНИЕ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3</w:t>
      </w:r>
    </w:p>
    <w:p w14:paraId="365876A4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ГЛАВА I</w:t>
      </w:r>
    </w:p>
    <w:p w14:paraId="7ACC511C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ПРЕДМЕТНО-СЕМИОТИЧЕСКОЕ ПРОСТРАНСТВО РЕЛИГИОЗНОГО ДИСКУРСА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19</w:t>
      </w:r>
    </w:p>
    <w:p w14:paraId="0B508FB8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1.1.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Предмет религиозного дискурса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24</w:t>
      </w:r>
    </w:p>
    <w:p w14:paraId="2CA632BA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1.2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Семиотические особенности дискурсов мифологической и теологической</w:t>
      </w:r>
    </w:p>
    <w:p w14:paraId="7EF4DBD7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религиозности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71</w:t>
      </w:r>
    </w:p>
    <w:p w14:paraId="12A2B1E2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1.3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Мифологема в пространстве теологического дискурса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160</w:t>
      </w:r>
    </w:p>
    <w:p w14:paraId="068ED870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1.4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Религиоведение и теология: дискурс-анализ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194</w:t>
      </w:r>
    </w:p>
    <w:p w14:paraId="3111F00B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ГЛАВА II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204</w:t>
      </w:r>
    </w:p>
    <w:p w14:paraId="1832A80C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lastRenderedPageBreak/>
        <w:t>РЕЛИГИОВЕДЧЕСКИЙ АНАЛИЗ СЕМИОТИЧЕСКИХ ОСОБЕННОСТЕЙ ДИСКУРСНОГО ПРЕДСТАВЛЕНИЯ РЕЛИГИОЗНОСТИ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204</w:t>
      </w:r>
    </w:p>
    <w:p w14:paraId="6A6583DD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2.1.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Семиотика имени в религиозных и гностических традициях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208</w:t>
      </w:r>
    </w:p>
    <w:p w14:paraId="53809544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2.2.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Семиотика социальных проявлений религии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238</w:t>
      </w:r>
    </w:p>
    <w:p w14:paraId="06EB45B2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2.3.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Семиотические особенности ритуального комплекса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 xml:space="preserve">  276</w:t>
      </w:r>
    </w:p>
    <w:p w14:paraId="0ADD7809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2.4.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Семиотика Откровения как предмет религиоведческого исследования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293</w:t>
      </w:r>
    </w:p>
    <w:p w14:paraId="6D52B7D9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ГЛАВА III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315</w:t>
      </w:r>
    </w:p>
    <w:p w14:paraId="19640415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ТЕРМИНОЛОГИЯ КАК ИНСТРУМЕНТ РЕЛИГИОВЕДЧЕСКОГО АНАЛИЗА СТРУКТУРЫ РЕЛИГИОЗНОГО ДИСКУРСА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315</w:t>
      </w:r>
    </w:p>
    <w:p w14:paraId="2CFD6409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3.1. Философские и семиотические концепции религиозного термина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320</w:t>
      </w:r>
    </w:p>
    <w:p w14:paraId="0FF36EE9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3.2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Методы терминологического анализа структуры религиозного дискурса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353</w:t>
      </w:r>
    </w:p>
    <w:p w14:paraId="08F2989F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3.3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Структура русской религиозной терминологии XVIII века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361</w:t>
      </w:r>
    </w:p>
    <w:p w14:paraId="5DD5B32C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3.4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Структура русской религиозной терминологии XIX-XX века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376</w:t>
      </w:r>
    </w:p>
    <w:p w14:paraId="6A478DA7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ЗАКЛЮЧЕНИЕ И ВЫВОДЫ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>409</w:t>
      </w:r>
    </w:p>
    <w:p w14:paraId="5612245F" w14:textId="77777777" w:rsidR="00AF23ED" w:rsidRPr="00AF23ED" w:rsidRDefault="00AF23ED" w:rsidP="00AF23ED">
      <w:pPr>
        <w:rPr>
          <w:rFonts w:ascii="Times New Roman" w:hAnsi="Times New Roman" w:cs="Times New Roman"/>
          <w:noProof/>
          <w:sz w:val="26"/>
          <w:szCs w:val="26"/>
        </w:rPr>
      </w:pPr>
      <w:r w:rsidRPr="00AF23ED">
        <w:rPr>
          <w:rFonts w:ascii="Times New Roman" w:hAnsi="Times New Roman" w:cs="Times New Roman"/>
          <w:noProof/>
          <w:sz w:val="26"/>
          <w:szCs w:val="26"/>
        </w:rPr>
        <w:t>ЛИТЕРАТУРА</w:t>
      </w:r>
      <w:r w:rsidRPr="00AF23ED">
        <w:rPr>
          <w:rFonts w:ascii="Times New Roman" w:hAnsi="Times New Roman" w:cs="Times New Roman"/>
          <w:noProof/>
          <w:sz w:val="26"/>
          <w:szCs w:val="26"/>
        </w:rPr>
        <w:tab/>
        <w:t xml:space="preserve">414 </w:t>
      </w:r>
    </w:p>
    <w:p w14:paraId="79BB88D9" w14:textId="5F851DEE" w:rsidR="003174AE" w:rsidRDefault="003174AE" w:rsidP="00AF23ED"/>
    <w:p w14:paraId="10DA2DD2" w14:textId="2EAA9E1B" w:rsidR="00AF23ED" w:rsidRDefault="00AF23ED" w:rsidP="00AF23ED"/>
    <w:p w14:paraId="628043DA" w14:textId="6DB7FE6D" w:rsidR="00AF23ED" w:rsidRDefault="00AF23ED" w:rsidP="00AF23ED"/>
    <w:p w14:paraId="36CBA0A7" w14:textId="77777777" w:rsidR="00AF23ED" w:rsidRDefault="00AF23ED" w:rsidP="00AF23ED">
      <w:pPr>
        <w:pStyle w:val="615"/>
        <w:shd w:val="clear" w:color="auto" w:fill="auto"/>
        <w:spacing w:after="1699" w:line="300" w:lineRule="exact"/>
      </w:pPr>
      <w:r>
        <w:rPr>
          <w:rStyle w:val="614"/>
          <w:b/>
          <w:bCs/>
          <w:color w:val="000000"/>
        </w:rPr>
        <w:t>ЗАКЛЮЧЕНИЕ И ВЫВОДЫ</w:t>
      </w:r>
    </w:p>
    <w:p w14:paraId="3CDEF5A5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760"/>
      </w:pPr>
      <w:r>
        <w:rPr>
          <w:rStyle w:val="21"/>
          <w:color w:val="000000"/>
        </w:rPr>
        <w:t>Начав наше исследование с терминологической проблемы отсутствия концептуального определения термина «религия», при наличии множества «частных» определений этого концепта, мы видим, что данная сложность коренится не только в самом предмете исследования, но и в парадигматическом состоянии гуманитарного знания, в котором под влиянием постструктурализма и постмодерна происходит процесс «исчезновения объекта», а соответ</w:t>
      </w:r>
      <w:r>
        <w:rPr>
          <w:rStyle w:val="21"/>
          <w:color w:val="000000"/>
        </w:rPr>
        <w:softHyphen/>
        <w:t>ственно и неизбежные трудности на уровне разработки ба</w:t>
      </w:r>
      <w:r>
        <w:rPr>
          <w:rStyle w:val="21"/>
          <w:color w:val="000000"/>
        </w:rPr>
        <w:softHyphen/>
        <w:t>зовых дефиниций.</w:t>
      </w:r>
    </w:p>
    <w:p w14:paraId="50827FA6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920"/>
      </w:pPr>
      <w:r>
        <w:rPr>
          <w:rStyle w:val="21"/>
          <w:color w:val="000000"/>
        </w:rPr>
        <w:t xml:space="preserve">Использовав методы семиотического исследования мы в данной работе </w:t>
      </w:r>
      <w:r>
        <w:rPr>
          <w:rStyle w:val="21"/>
          <w:color w:val="000000"/>
        </w:rPr>
        <w:lastRenderedPageBreak/>
        <w:t xml:space="preserve">пришли к выводу о возможности определить понятие «религия» </w:t>
      </w:r>
      <w:r>
        <w:rPr>
          <w:rStyle w:val="28"/>
          <w:color w:val="000000"/>
        </w:rPr>
        <w:t xml:space="preserve">как </w:t>
      </w:r>
      <w:r>
        <w:rPr>
          <w:rStyle w:val="291"/>
          <w:color w:val="000000"/>
        </w:rPr>
        <w:t xml:space="preserve">КОДг </w:t>
      </w:r>
      <w:r>
        <w:rPr>
          <w:rStyle w:val="28"/>
          <w:color w:val="000000"/>
        </w:rPr>
        <w:t>особый, не сводимый к вербальному язык, обеспечивающий коммуника</w:t>
      </w:r>
      <w:r>
        <w:rPr>
          <w:rStyle w:val="28"/>
          <w:color w:val="000000"/>
        </w:rPr>
        <w:softHyphen/>
        <w:t xml:space="preserve">цию между человеком и миром </w:t>
      </w:r>
      <w:r>
        <w:rPr>
          <w:rStyle w:val="28"/>
          <w:color w:val="000000"/>
          <w:lang w:val="en-US" w:eastAsia="en-US"/>
        </w:rPr>
        <w:t>sacrum</w:t>
      </w:r>
      <w:r w:rsidRPr="00AF23ED">
        <w:rPr>
          <w:rStyle w:val="28"/>
          <w:color w:val="000000"/>
          <w:lang w:eastAsia="en-US"/>
        </w:rPr>
        <w:t>'</w:t>
      </w:r>
      <w:r>
        <w:rPr>
          <w:rStyle w:val="28"/>
          <w:color w:val="000000"/>
        </w:rPr>
        <w:t>а, принципы общения между человечеством и божеством.</w:t>
      </w:r>
      <w:r>
        <w:rPr>
          <w:rStyle w:val="21"/>
          <w:color w:val="000000"/>
        </w:rPr>
        <w:t xml:space="preserve"> Данное определение позволило нам охарактеризовать коммуникационную интенцию языка религии - данная интенция предстает как дихотомическое единство отношений между человеком и человеком (людьми, социумом) и человеком (социумом) и высшим миром.</w:t>
      </w:r>
    </w:p>
    <w:p w14:paraId="3967F2CC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760"/>
        <w:sectPr w:rsidR="00AF23ED" w:rsidSect="00AF23ED">
          <w:pgSz w:w="16840" w:h="23800"/>
          <w:pgMar w:top="5271" w:right="3429" w:bottom="4046" w:left="3946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Методы дискурс-анализа позволили нам проследить становление семиотического пространства религиозного дискурса от мифологической религиозности до современных теологических религий. Оказалось, что в мифологическом </w:t>
      </w:r>
    </w:p>
    <w:p w14:paraId="63DA60BC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760"/>
      </w:pPr>
      <w:r>
        <w:rPr>
          <w:rStyle w:val="21"/>
          <w:color w:val="000000"/>
        </w:rPr>
        <w:lastRenderedPageBreak/>
        <w:t>повествовании прагматика коммуникативного действия раскрывается в ином контексте, нежели при бытовой коммуникации, а само мифологическое повествование не столько выступает в качестве аргумента (хотя и это возможно), используемого для решения задачи коммуникации непосредственно, сколько достигает поставленной цели опосредованно, через формирование новой или консервацию существующей коммуникативной группы, в которой принятие участниками коммуникации со</w:t>
      </w:r>
      <w:r>
        <w:rPr>
          <w:rStyle w:val="21"/>
          <w:color w:val="000000"/>
        </w:rPr>
        <w:softHyphen/>
        <w:t>держание мифа создает условие для их вхождения в единый культурно-религиозный контекст. Границы дискурса мифа проходят там же, где и границы коммуникативной группы, в которой воспроизводится данный миф в качестве непосредственно-актуального действия (в т.ч. и прежде всего - речевого). По этой причине мифологическая культура не способна ни образовывать теологические по</w:t>
      </w:r>
      <w:r>
        <w:rPr>
          <w:rStyle w:val="21"/>
          <w:color w:val="000000"/>
        </w:rPr>
        <w:softHyphen/>
        <w:t>нятия, ни оперировать заимствованными из иных культур теологемами, - ее дискурсные особенности раскрываются в иной прагматической плоскости.</w:t>
      </w:r>
    </w:p>
    <w:p w14:paraId="4BBE0A53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780"/>
      </w:pPr>
      <w:r>
        <w:rPr>
          <w:rStyle w:val="21"/>
          <w:color w:val="000000"/>
        </w:rPr>
        <w:t xml:space="preserve">В мифологической религии мы видим, что теологический дискурс еще не сформирован, а знание о боге/богах относится к области знания о том, что боги </w:t>
      </w:r>
      <w:r>
        <w:rPr>
          <w:rStyle w:val="28"/>
          <w:color w:val="000000"/>
        </w:rPr>
        <w:t>есть,</w:t>
      </w:r>
      <w:r>
        <w:rPr>
          <w:rStyle w:val="21"/>
          <w:color w:val="000000"/>
        </w:rPr>
        <w:t xml:space="preserve"> а не к тому, </w:t>
      </w:r>
      <w:r>
        <w:rPr>
          <w:rStyle w:val="28"/>
          <w:color w:val="000000"/>
        </w:rPr>
        <w:t>что</w:t>
      </w:r>
      <w:r>
        <w:rPr>
          <w:rStyle w:val="21"/>
          <w:color w:val="000000"/>
        </w:rPr>
        <w:t xml:space="preserve"> есть боги. Иными словами, имеет место </w:t>
      </w:r>
      <w:r>
        <w:rPr>
          <w:rStyle w:val="28"/>
          <w:color w:val="000000"/>
        </w:rPr>
        <w:t>констатация</w:t>
      </w:r>
      <w:r>
        <w:rPr>
          <w:rStyle w:val="21"/>
          <w:color w:val="000000"/>
        </w:rPr>
        <w:t xml:space="preserve"> (например, в форме сюжета), но </w:t>
      </w:r>
      <w:r>
        <w:rPr>
          <w:rStyle w:val="28"/>
          <w:color w:val="000000"/>
        </w:rPr>
        <w:t>рефлексия</w:t>
      </w:r>
      <w:r>
        <w:rPr>
          <w:rStyle w:val="21"/>
          <w:color w:val="000000"/>
        </w:rPr>
        <w:t xml:space="preserve"> полностью отсутствует. Сюжет в мифе выполняет те же функции, что и структура понятий в теологеме.</w:t>
      </w:r>
    </w:p>
    <w:p w14:paraId="549EFFEC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780"/>
      </w:pPr>
      <w:r>
        <w:rPr>
          <w:rStyle w:val="21"/>
          <w:color w:val="000000"/>
        </w:rPr>
        <w:t>Теология формируется в рамках мифологического мировосприятия (в условиях развитой мифологической культуры) из двух источников: тенденции к систематизации мифологического материала и попытки нравственных обобщений, которые не сводятся к простой нравственной рефлексии.</w:t>
      </w:r>
    </w:p>
    <w:p w14:paraId="72CCDE8B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780"/>
      </w:pPr>
      <w:r>
        <w:rPr>
          <w:rStyle w:val="21"/>
          <w:color w:val="000000"/>
        </w:rPr>
        <w:t>Преодоление духовного кризиса современного общества невозможно без нового открытия для себя ценности традиций, без обращения к опыту предшествовавших поколений, которые создавали европейскую христианскую цивилизацию на основе христианских духовно-зтических ценностей, а не секулярных антропоцентрических постулатов.</w:t>
      </w:r>
    </w:p>
    <w:p w14:paraId="38826438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780"/>
      </w:pPr>
      <w:r>
        <w:rPr>
          <w:rStyle w:val="21"/>
          <w:color w:val="000000"/>
        </w:rPr>
        <w:lastRenderedPageBreak/>
        <w:t>В этом отношении семиотический подход к изучению религии позволяет увидеть и правильно интерпретировать религиозно-духовные символы, которые являются и обозначением предмета религиозной веры и стимулом нравственного совершенствования человека.</w:t>
      </w:r>
    </w:p>
    <w:p w14:paraId="7D4B9D92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780"/>
      </w:pPr>
      <w:r>
        <w:rPr>
          <w:rStyle w:val="21"/>
          <w:color w:val="000000"/>
        </w:rPr>
        <w:t>Представление о религии как о знаковом способе коммуникации между человеком и высшим миром, на наш взгляд, позволяет учитывать как контекстуальные особенности этой коммуникации, так и ее вечное содержание, не зависящее от внешних изменений. Разграничение прагматики, семантики и синтаксиса религиозного текста (в широком смысле этого термина) позволяет анализировать не только текстуальные вербальные памятники религиозного содержания (напр., священные книги различных религий), но и памятники религиозного искусства, во многих случаях ставшие или бывшие эталонными, и даже общественно-религиозные процессы, без изучения которых невозможно составить достаточно полное представление о геополитических и культурноцивилизационных реалиях современности, т.е. способствует решению задач, стоящих перед научным религиоведением.</w:t>
      </w:r>
    </w:p>
    <w:p w14:paraId="58E8D316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940"/>
      </w:pPr>
      <w:r>
        <w:rPr>
          <w:rStyle w:val="21"/>
          <w:color w:val="000000"/>
        </w:rPr>
        <w:t>Семиотический подход к изучению религии позволяет не только выявить внутреннюю логику развития религиозных процессов, но и приблизиться к пониманию причин, вызвавших их к жизни. Так отказ от мифологического мировосприятия в пользу теологической религии откровения может быть интерпретирован как явление, в основе которого лежит усложнение религиозной коммуникации, когда коммуникативные и номинативные возможности знака оказываются недостаточными для человека, переросшего в своем духовном развитии ограниченность сюжетно-экспрессивного мировосприятия. Знак замещается символом тогда, когда сюжет вытесняется теологическим размышлением. Иными словами, усложнение религиозного мировосприятия происходит не стихийно, или не в результате воздействия преимущественно политических и экономических факторов, но в связи с развитием способностей человека к восприятию духовных категорий, несводимых к чувственному образу.</w:t>
      </w:r>
    </w:p>
    <w:p w14:paraId="76F6E64E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960"/>
      </w:pPr>
      <w:r>
        <w:rPr>
          <w:rStyle w:val="21"/>
          <w:color w:val="000000"/>
        </w:rPr>
        <w:lastRenderedPageBreak/>
        <w:t>Теологическая религия, использующая методы богословских построений, не ограничена априорно сюжетом повествования, но может совершенствовать собственную структуру с одной стороны - исходя из знания откровения, и с другой - используя это знание для объяснения и оценки различных процессов, в совокупности уникальные особенности современного нам мира. Именно эта способность теологической религии способна преодолеть конфликт веры и знания, который в мифологическом мировосприятии оказывается непреодолимым и неизбежно приводит к разрушению мифа: если наука стоит на пороге какого-либо открытия, никакая мифологема, влияющая на общественное мировосприятие, не в состоянии препятствовать совершению этого открытия неопределенно долгое время.</w:t>
      </w:r>
    </w:p>
    <w:p w14:paraId="78EE2D14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960"/>
        <w:sectPr w:rsidR="00AF23ED">
          <w:headerReference w:type="even" r:id="rId7"/>
          <w:headerReference w:type="default" r:id="rId8"/>
          <w:pgSz w:w="16840" w:h="23800"/>
          <w:pgMar w:top="5271" w:right="3429" w:bottom="4046" w:left="3946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Сила же теологической религии состоит в том, что она влияет на общество независимо от уровня накопленных в нем научных знаний, поскольку обладает способностью и возможностью отвечать на реальные вопросы, стоящие</w:t>
      </w:r>
    </w:p>
    <w:p w14:paraId="64444416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0"/>
      </w:pPr>
      <w:r>
        <w:rPr>
          <w:rStyle w:val="21"/>
          <w:color w:val="000000"/>
        </w:rPr>
        <w:lastRenderedPageBreak/>
        <w:t>перед человеком, а не на тот их ограниченный и не могущий видоизменяться перечень, который предположен в сюжете мифа.</w:t>
      </w:r>
    </w:p>
    <w:p w14:paraId="29F4E885" w14:textId="77777777" w:rsidR="00AF23ED" w:rsidRDefault="00AF23ED" w:rsidP="00AF23ED">
      <w:pPr>
        <w:pStyle w:val="210"/>
        <w:shd w:val="clear" w:color="auto" w:fill="auto"/>
        <w:spacing w:before="0"/>
        <w:ind w:firstLine="760"/>
      </w:pPr>
      <w:r>
        <w:rPr>
          <w:rStyle w:val="21"/>
          <w:color w:val="000000"/>
        </w:rPr>
        <w:t>Проанализировав состояние русского религиозного дискурса XVIII в., мы пришли в выводу, что слабая степень структурированности религиозной терминологии, представленная в соответствующем дискурсе, свидетельствует о том, что теология (прежде всего догматическая) в том формате, в котором она представлена в российском обществе восемнадцатого столетия, еще, строго говоря, не оформлена в качестве науки. И хотя в данном дискурске уже представлены специальные понятия, существующие между ними отношения еще четко не описаны и вряд-ли четко воспринимаемы современниками. Это составляет предмет хотя и спе</w:t>
      </w:r>
      <w:r>
        <w:rPr>
          <w:rStyle w:val="21"/>
          <w:color w:val="000000"/>
        </w:rPr>
        <w:softHyphen/>
        <w:t>циализированного но, еще не научного знания.</w:t>
      </w:r>
    </w:p>
    <w:p w14:paraId="3388F8B4" w14:textId="77777777" w:rsidR="00AF23ED" w:rsidRDefault="00AF23ED" w:rsidP="00AF23ED">
      <w:pPr>
        <w:pStyle w:val="210"/>
        <w:shd w:val="clear" w:color="auto" w:fill="auto"/>
        <w:spacing w:before="0" w:line="442" w:lineRule="exact"/>
        <w:ind w:firstLine="760"/>
        <w:sectPr w:rsidR="00AF23ED">
          <w:headerReference w:type="even" r:id="rId9"/>
          <w:headerReference w:type="default" r:id="rId10"/>
          <w:pgSz w:w="16840" w:h="23800"/>
          <w:pgMar w:top="6543" w:right="3428" w:bottom="5329" w:left="3970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Структурирование теологии, трансформация ее содержания в упорядоченную структуру, отношения внутри которой обеспечиваются соответствующими терминами происходит позже, в XIX веке и завершится в нач. XX века. Современная русская теологическая терминология представляет собой структурированное единство, что по</w:t>
      </w:r>
      <w:r>
        <w:rPr>
          <w:rStyle w:val="21"/>
          <w:color w:val="000000"/>
        </w:rPr>
        <w:softHyphen/>
        <w:t>зволяет говорить о том, что богословские дисциплины образуют в своей совокупности единое целое, в рамках которого представлены автономные группы терминов, легко соотносимые с теологическими дисциплинами, не образующими отдельных наук.</w:t>
      </w:r>
    </w:p>
    <w:p w14:paraId="46A87B95" w14:textId="77777777" w:rsidR="00AF23ED" w:rsidRPr="00AF23ED" w:rsidRDefault="00AF23ED" w:rsidP="00AF23ED"/>
    <w:sectPr w:rsidR="00AF23ED" w:rsidRPr="00AF23ED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E464" w14:textId="77777777" w:rsidR="0024004B" w:rsidRDefault="0024004B">
      <w:pPr>
        <w:spacing w:after="0" w:line="240" w:lineRule="auto"/>
      </w:pPr>
      <w:r>
        <w:separator/>
      </w:r>
    </w:p>
  </w:endnote>
  <w:endnote w:type="continuationSeparator" w:id="0">
    <w:p w14:paraId="15A349E2" w14:textId="77777777" w:rsidR="0024004B" w:rsidRDefault="0024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11A5" w14:textId="77777777" w:rsidR="0024004B" w:rsidRDefault="0024004B">
      <w:pPr>
        <w:spacing w:after="0" w:line="240" w:lineRule="auto"/>
      </w:pPr>
      <w:r>
        <w:separator/>
      </w:r>
    </w:p>
  </w:footnote>
  <w:footnote w:type="continuationSeparator" w:id="0">
    <w:p w14:paraId="508AC982" w14:textId="77777777" w:rsidR="0024004B" w:rsidRDefault="0024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5C30" w14:textId="77777777" w:rsidR="00AF23ED" w:rsidRDefault="00AF23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BBF6" w14:textId="77777777" w:rsidR="00AF23ED" w:rsidRDefault="00AF23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3A4F" w14:textId="673BE41D" w:rsidR="00AF23ED" w:rsidRDefault="00AF23E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B9E8AF" wp14:editId="1C258A6B">
              <wp:simplePos x="0" y="0"/>
              <wp:positionH relativeFrom="page">
                <wp:posOffset>5279390</wp:posOffset>
              </wp:positionH>
              <wp:positionV relativeFrom="page">
                <wp:posOffset>3064510</wp:posOffset>
              </wp:positionV>
              <wp:extent cx="229235" cy="175260"/>
              <wp:effectExtent l="2540" t="0" r="0" b="0"/>
              <wp:wrapNone/>
              <wp:docPr id="32" name="Надпись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3BCEB" w14:textId="77777777" w:rsidR="00AF23ED" w:rsidRDefault="00AF23E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9E8AF" id="_x0000_t202" coordsize="21600,21600" o:spt="202" path="m,l,21600r21600,l21600,xe">
              <v:stroke joinstyle="miter"/>
              <v:path gradientshapeok="t" o:connecttype="rect"/>
            </v:shapetype>
            <v:shape id="Надпись 32" o:spid="_x0000_s1026" type="#_x0000_t202" style="position:absolute;margin-left:415.7pt;margin-top:241.3pt;width:18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" filled="f" stroked="f">
              <v:textbox style="mso-fit-shape-to-text:t" inset="0,0,0,0">
                <w:txbxContent>
                  <w:p w14:paraId="1523BCEB" w14:textId="77777777" w:rsidR="00AF23ED" w:rsidRDefault="00AF23E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d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A1BF" w14:textId="5C9B0793" w:rsidR="00AF23ED" w:rsidRDefault="00AF23E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F204C80" wp14:editId="5902D465">
              <wp:simplePos x="0" y="0"/>
              <wp:positionH relativeFrom="page">
                <wp:posOffset>5279390</wp:posOffset>
              </wp:positionH>
              <wp:positionV relativeFrom="page">
                <wp:posOffset>3064510</wp:posOffset>
              </wp:positionV>
              <wp:extent cx="219710" cy="113030"/>
              <wp:effectExtent l="2540" t="0" r="0" b="381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344F0" w14:textId="77777777" w:rsidR="00AF23ED" w:rsidRDefault="00AF23E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04C80"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27" type="#_x0000_t202" style="position:absolute;margin-left:415.7pt;margin-top:241.3pt;width:17.3pt;height:8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" filled="f" stroked="f">
              <v:textbox style="mso-fit-shape-to-text:t" inset="0,0,0,0">
                <w:txbxContent>
                  <w:p w14:paraId="171344F0" w14:textId="77777777" w:rsidR="00AF23ED" w:rsidRDefault="00AF23E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d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00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9"/>
    <w:multiLevelType w:val="multilevel"/>
    <w:tmpl w:val="0000003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57"/>
    <w:multiLevelType w:val="multilevel"/>
    <w:tmpl w:val="0000005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1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2" w15:restartNumberingAfterBreak="0">
    <w:nsid w:val="00000067"/>
    <w:multiLevelType w:val="multilevel"/>
    <w:tmpl w:val="0000006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3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5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7B"/>
    <w:multiLevelType w:val="multilevel"/>
    <w:tmpl w:val="0000007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7D"/>
    <w:multiLevelType w:val="multilevel"/>
    <w:tmpl w:val="0000007C"/>
    <w:lvl w:ilvl="0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8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91"/>
    <w:multiLevelType w:val="multilevel"/>
    <w:tmpl w:val="0000009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2" w15:restartNumberingAfterBreak="0">
    <w:nsid w:val="0000009D"/>
    <w:multiLevelType w:val="multilevel"/>
    <w:tmpl w:val="0000009C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0A3"/>
    <w:multiLevelType w:val="multilevel"/>
    <w:tmpl w:val="000000A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4" w15:restartNumberingAfterBreak="0">
    <w:nsid w:val="000000A5"/>
    <w:multiLevelType w:val="multilevel"/>
    <w:tmpl w:val="000000A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5" w15:restartNumberingAfterBreak="0">
    <w:nsid w:val="000000CB"/>
    <w:multiLevelType w:val="multilevel"/>
    <w:tmpl w:val="000000C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0"/>
  </w:num>
  <w:num w:numId="6">
    <w:abstractNumId w:val="33"/>
  </w:num>
  <w:num w:numId="7">
    <w:abstractNumId w:val="40"/>
  </w:num>
  <w:num w:numId="8">
    <w:abstractNumId w:val="41"/>
  </w:num>
  <w:num w:numId="9">
    <w:abstractNumId w:val="10"/>
  </w:num>
  <w:num w:numId="10">
    <w:abstractNumId w:val="3"/>
  </w:num>
  <w:num w:numId="11">
    <w:abstractNumId w:val="35"/>
  </w:num>
  <w:num w:numId="12">
    <w:abstractNumId w:val="36"/>
  </w:num>
  <w:num w:numId="13">
    <w:abstractNumId w:val="38"/>
  </w:num>
  <w:num w:numId="14">
    <w:abstractNumId w:val="39"/>
  </w:num>
  <w:num w:numId="15">
    <w:abstractNumId w:val="21"/>
  </w:num>
  <w:num w:numId="16">
    <w:abstractNumId w:val="8"/>
  </w:num>
  <w:num w:numId="17">
    <w:abstractNumId w:val="32"/>
  </w:num>
  <w:num w:numId="18">
    <w:abstractNumId w:val="37"/>
  </w:num>
  <w:num w:numId="19">
    <w:abstractNumId w:val="22"/>
  </w:num>
  <w:num w:numId="20">
    <w:abstractNumId w:val="23"/>
  </w:num>
  <w:num w:numId="21">
    <w:abstractNumId w:val="24"/>
  </w:num>
  <w:num w:numId="22">
    <w:abstractNumId w:val="19"/>
  </w:num>
  <w:num w:numId="23">
    <w:abstractNumId w:val="42"/>
  </w:num>
  <w:num w:numId="24">
    <w:abstractNumId w:val="43"/>
  </w:num>
  <w:num w:numId="25">
    <w:abstractNumId w:val="44"/>
  </w:num>
  <w:num w:numId="26">
    <w:abstractNumId w:val="25"/>
  </w:num>
  <w:num w:numId="27">
    <w:abstractNumId w:val="12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31"/>
  </w:num>
  <w:num w:numId="33">
    <w:abstractNumId w:val="34"/>
  </w:num>
  <w:num w:numId="34">
    <w:abstractNumId w:val="20"/>
  </w:num>
  <w:num w:numId="35">
    <w:abstractNumId w:val="27"/>
  </w:num>
  <w:num w:numId="36">
    <w:abstractNumId w:val="28"/>
  </w:num>
  <w:num w:numId="37">
    <w:abstractNumId w:val="14"/>
  </w:num>
  <w:num w:numId="38">
    <w:abstractNumId w:val="26"/>
  </w:num>
  <w:num w:numId="39">
    <w:abstractNumId w:val="29"/>
  </w:num>
  <w:num w:numId="40">
    <w:abstractNumId w:val="16"/>
  </w:num>
  <w:num w:numId="41">
    <w:abstractNumId w:val="17"/>
  </w:num>
  <w:num w:numId="42">
    <w:abstractNumId w:val="18"/>
  </w:num>
  <w:num w:numId="43">
    <w:abstractNumId w:val="9"/>
  </w:num>
  <w:num w:numId="44">
    <w:abstractNumId w:val="13"/>
  </w:num>
  <w:num w:numId="45">
    <w:abstractNumId w:val="45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04B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57382</TotalTime>
  <Pages>8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10606</cp:revision>
  <dcterms:created xsi:type="dcterms:W3CDTF">2024-06-20T08:51:00Z</dcterms:created>
  <dcterms:modified xsi:type="dcterms:W3CDTF">2024-11-02T19:07:00Z</dcterms:modified>
  <cp:category/>
</cp:coreProperties>
</file>