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E5370" w14:textId="6275B2E7" w:rsidR="00963DCF" w:rsidRDefault="003358BD" w:rsidP="003358B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Рахимова Фируза Маъруфджоновна. Государственно - правовое учение ханафизма ( VII I - XIII вв.)</w:t>
      </w:r>
      <w:bookmarkEnd w:id="0"/>
      <w:r>
        <w:rPr>
          <w:rFonts w:ascii="Verdana" w:hAnsi="Verdana"/>
          <w:color w:val="000000"/>
          <w:sz w:val="18"/>
          <w:szCs w:val="18"/>
          <w:shd w:val="clear" w:color="auto" w:fill="FFFFFF"/>
        </w:rPr>
        <w:t>: диссертация ... кандидата юридических наук: 12.00.01 / Рахимова Фируза Маъруфджоновна;[Место защиты: Таджикский национальный университет].- Душанбе, 2014.- 220 с.</w:t>
      </w:r>
    </w:p>
    <w:p w14:paraId="7B2186C0" w14:textId="77777777" w:rsidR="003358BD" w:rsidRPr="003358BD" w:rsidRDefault="003358BD" w:rsidP="003358B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358BD">
        <w:rPr>
          <w:rFonts w:ascii="Verdana" w:eastAsia="Times New Roman" w:hAnsi="Verdana" w:cs="Times New Roman"/>
          <w:b/>
          <w:bCs/>
          <w:color w:val="AC370B"/>
          <w:kern w:val="0"/>
          <w:sz w:val="23"/>
          <w:szCs w:val="23"/>
          <w:lang w:eastAsia="ru-RU"/>
        </w:rPr>
        <w:t>Содержание к диссертации</w:t>
      </w:r>
    </w:p>
    <w:p w14:paraId="503B7E97"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8BD">
        <w:rPr>
          <w:rFonts w:ascii="Verdana" w:eastAsia="Times New Roman" w:hAnsi="Verdana" w:cs="Times New Roman"/>
          <w:color w:val="000000"/>
          <w:kern w:val="0"/>
          <w:sz w:val="18"/>
          <w:szCs w:val="18"/>
          <w:lang w:eastAsia="ru-RU"/>
        </w:rPr>
        <w:t>Введение</w:t>
      </w:r>
    </w:p>
    <w:p w14:paraId="15745707"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358BD">
        <w:rPr>
          <w:rFonts w:ascii="Verdana" w:eastAsia="Times New Roman" w:hAnsi="Verdana" w:cs="Times New Roman"/>
          <w:b/>
          <w:bCs/>
          <w:color w:val="000000"/>
          <w:kern w:val="0"/>
          <w:sz w:val="18"/>
          <w:szCs w:val="18"/>
          <w:lang w:eastAsia="ru-RU"/>
        </w:rPr>
        <w:t>Глава 1. Формирование и теоретические основы ханафитской концепции государственности 16 – 103</w:t>
      </w:r>
    </w:p>
    <w:p w14:paraId="2B3B57CC"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8BD">
        <w:rPr>
          <w:rFonts w:ascii="Verdana" w:eastAsia="Times New Roman" w:hAnsi="Verdana" w:cs="Times New Roman"/>
          <w:color w:val="000000"/>
          <w:kern w:val="0"/>
          <w:sz w:val="18"/>
          <w:szCs w:val="18"/>
          <w:lang w:eastAsia="ru-RU"/>
        </w:rPr>
        <w:t>1. Идейные истоки становления ханафитской концепции государственности 16 – 40</w:t>
      </w:r>
    </w:p>
    <w:p w14:paraId="1EA4060D"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8BD">
        <w:rPr>
          <w:rFonts w:ascii="Verdana" w:eastAsia="Times New Roman" w:hAnsi="Verdana" w:cs="Times New Roman"/>
          <w:color w:val="000000"/>
          <w:kern w:val="0"/>
          <w:sz w:val="18"/>
          <w:szCs w:val="18"/>
          <w:lang w:eastAsia="ru-RU"/>
        </w:rPr>
        <w:t>2. Учения Абуханифы и его последователей о государстве .40 – 71</w:t>
      </w:r>
    </w:p>
    <w:p w14:paraId="1588EB81"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8BD">
        <w:rPr>
          <w:rFonts w:ascii="Verdana" w:eastAsia="Times New Roman" w:hAnsi="Verdana" w:cs="Times New Roman"/>
          <w:color w:val="000000"/>
          <w:kern w:val="0"/>
          <w:sz w:val="18"/>
          <w:szCs w:val="18"/>
          <w:lang w:eastAsia="ru-RU"/>
        </w:rPr>
        <w:t>3. Место теории халифата в государственно-правовом учении ханафизма 71 – 103</w:t>
      </w:r>
    </w:p>
    <w:p w14:paraId="40BF71FB"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358BD">
        <w:rPr>
          <w:rFonts w:ascii="Verdana" w:eastAsia="Times New Roman" w:hAnsi="Verdana" w:cs="Times New Roman"/>
          <w:b/>
          <w:bCs/>
          <w:color w:val="000000"/>
          <w:kern w:val="0"/>
          <w:sz w:val="18"/>
          <w:szCs w:val="18"/>
          <w:lang w:eastAsia="ru-RU"/>
        </w:rPr>
        <w:t>Глава 2. Государственно-правовые идеи ханафизма в учениях ханафитских факихов мавераннахрского течения (IX-XIII вв.) 104 – 188</w:t>
      </w:r>
    </w:p>
    <w:p w14:paraId="0B8473EB"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8BD">
        <w:rPr>
          <w:rFonts w:ascii="Verdana" w:eastAsia="Times New Roman" w:hAnsi="Verdana" w:cs="Times New Roman"/>
          <w:color w:val="000000"/>
          <w:kern w:val="0"/>
          <w:sz w:val="18"/>
          <w:szCs w:val="18"/>
          <w:lang w:eastAsia="ru-RU"/>
        </w:rPr>
        <w:t>1. Исторические особенности формирования государственно-правовых учений факихов мавераннахрского течения ханафизма.. 104 – 136</w:t>
      </w:r>
    </w:p>
    <w:p w14:paraId="735FA7A7"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8BD">
        <w:rPr>
          <w:rFonts w:ascii="Verdana" w:eastAsia="Times New Roman" w:hAnsi="Verdana" w:cs="Times New Roman"/>
          <w:color w:val="000000"/>
          <w:kern w:val="0"/>
          <w:sz w:val="18"/>
          <w:szCs w:val="18"/>
          <w:lang w:eastAsia="ru-RU"/>
        </w:rPr>
        <w:t>2. Представления мавераннахрских факихов о сущности и значении государственной власти: концепция справедливого государственного управления 136 – 162</w:t>
      </w:r>
    </w:p>
    <w:p w14:paraId="37AFB518"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8BD">
        <w:rPr>
          <w:rFonts w:ascii="Verdana" w:eastAsia="Times New Roman" w:hAnsi="Verdana" w:cs="Times New Roman"/>
          <w:color w:val="000000"/>
          <w:kern w:val="0"/>
          <w:sz w:val="18"/>
          <w:szCs w:val="18"/>
          <w:lang w:eastAsia="ru-RU"/>
        </w:rPr>
        <w:t>3. Роль и значение ханафитских правовых идей в становлении государственности таджикского народа .162 – 188</w:t>
      </w:r>
    </w:p>
    <w:p w14:paraId="6AC32445"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8BD">
        <w:rPr>
          <w:rFonts w:ascii="Verdana" w:eastAsia="Times New Roman" w:hAnsi="Verdana" w:cs="Times New Roman"/>
          <w:color w:val="000000"/>
          <w:kern w:val="0"/>
          <w:sz w:val="18"/>
          <w:szCs w:val="18"/>
          <w:lang w:eastAsia="ru-RU"/>
        </w:rPr>
        <w:t>Заключение 189 – 203</w:t>
      </w:r>
    </w:p>
    <w:p w14:paraId="5B536101" w14:textId="77777777" w:rsidR="003358BD" w:rsidRPr="003358BD" w:rsidRDefault="003358BD" w:rsidP="003358B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358BD">
        <w:rPr>
          <w:rFonts w:ascii="Verdana" w:eastAsia="Times New Roman" w:hAnsi="Verdana" w:cs="Times New Roman"/>
          <w:color w:val="000000"/>
          <w:kern w:val="0"/>
          <w:sz w:val="18"/>
          <w:szCs w:val="18"/>
          <w:lang w:eastAsia="ru-RU"/>
        </w:rPr>
        <w:t>Список использованных источников и литературы</w:t>
      </w:r>
    </w:p>
    <w:p w14:paraId="5FB59FBC" w14:textId="77777777" w:rsidR="003358BD" w:rsidRDefault="003358BD" w:rsidP="003358BD">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Учения Абуханифы и его последователей о государстве</w:t>
      </w:r>
    </w:p>
    <w:p w14:paraId="55BDD81F"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Указом Президента Эмомали Рахмона 2009 г. в Таджикистане был объявлен Годом памяти Великого Имама Абуханифы.1 В этом Указе был сформулирован новый подход к построению правового, демократического государства, которое должно основываться на активном, толерантном взаимодействии национальных, конституционных интересов с религиозными идейными принципами и нормами. Такая неординарная установка самым позитивным образом повлияла на самосознание таджикского общества, которое «вспомнило» о богатом историческом опыте нации, ее непреходящих духовных ценностях, поразительных достижениях в науке, культуре и искусстве. Но еще более значительными были успехи таджикских правоведов древнего, средневекового и Нового времени. Свидетельством тому - востребованность их уникальных трудов поколением современных юристов. Учет национальной ментальности и правовых традиций в условиях глобализации и столкновения цивилизаций для суверенного демократического Таджикистана стал одним из непременных положений практически всех программ, разрабатываемых и реализуемых в правовой сфере. Крайняя вестернизация и ортодоксальная исламизация как один из особенно ярких показателей происходящих в обществе процессов подвигли таджикских юристов к выявлению и обоснованию механизмов реформирования современного права с учетом национальных интересов. </w:t>
      </w:r>
      <w:r>
        <w:rPr>
          <w:rFonts w:ascii="Verdana" w:hAnsi="Verdana"/>
          <w:color w:val="000000"/>
          <w:sz w:val="18"/>
          <w:szCs w:val="18"/>
        </w:rPr>
        <w:lastRenderedPageBreak/>
        <w:t>С одной стороны, особенно актуальным здесь становится формирование модернизированной на справедливых началах государственности, а с другой - возрастает роль диалога цивилизаций, характерного для всей истории государственно-правовых учений таджикского народа. Именно в связи с этим в Таджикистане и возрос интерес высшей политической власти к идеям и учениям школы Абуханифы, как части политико-правового учения таджикского народа, которому всегда были свойственны толерантность и гуманизм. Исходя из этого, Президент Республики Таджикистан Эмомали Рахмон отмечал, что интерес государства к ханафитскому мазхабу прежде всего вызван тем, что посредством него может определиться правильный путь национального самосознания и утвердиться религиозная толерантность в качестве стратегической основы национального единения.1</w:t>
      </w:r>
    </w:p>
    <w:p w14:paraId="6F18FB85"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Указывая на такую особенность системы учений ханафитской школы права, А.Г. Халиков подчеркивает ее позитивную, стабилизирующую роль в деле обеспечения взаимодействия национальных и религиозных ценностей в условиях формирования и развития правовой государственности.2</w:t>
      </w:r>
    </w:p>
    <w:p w14:paraId="2C760A7D"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видим, политический курс руководства современного Таджикистана, направленный на возрождение и восприятие учений и идей Абуханифы, в то же время связывается с совершенствованием механизмов таджикской государственности в условиях, когда общемировые глобализационные процессы вынуждают каждый народ и нацию задуматься 0 своих вековых идейных ценностях и достижениях. Ханафитская доктрина права в современных условиях может быть востребована в процессе возрождения и обогащения искусства государственного управления и рационального развития правовой системы. Анализ сущности ханафитской концепции государственности подразумевает в первую очередь раскрытие идейных первоистоков формирования государственно-правовых учений основателя школы Абуханифы и всей ханафитской школы права в целом.</w:t>
      </w:r>
    </w:p>
    <w:p w14:paraId="477D29E9"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заметить, что этот аспект государственно-правовых учений ханафизма практически оказался не исследованным; правда, некоторые ученые (Р. Батыр, Л.В.С. Ван ден Берг, А. Муминов, Д.С. Обидов, М.С. Хайдарова, А.Г. Халиков и др.) в своих работах касались отдельных проблем сложения данной правовой школы в русле своего основного анализа.1 Р.Ш. Сативалдыевым проведено исследование политико-правовых взглядов Абуханифы и основополагающих идей созданной им правовой школы, в частности, о соотношении исполнительной и судебной власти, законах шариата, законоведении, учреждении власти халифа и др.2. Данное исследование проведено в рамках учебника «История политических и правовых учений», что, разумеется, не позволяет более подробно проанализировать учение Абуханифы и его учеников в полном объеме. В вышеуказанных исследованиях и в трудах других авторов конкретно не ставится вопрос о роли идейных первоистоков в формировании ханафитской концепции государственности, а лишь рассматривается проблема отношения ханафитской школы права к юридическим источникам ислама.</w:t>
      </w:r>
    </w:p>
    <w:p w14:paraId="27BDBAF2"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Вопрос об определении идейных первоистоков ханафитской концепции государственности представляется достаточно сложным и многогранным. Исходя из этого, для раскрытия сущности </w:t>
      </w:r>
      <w:r>
        <w:rPr>
          <w:rFonts w:ascii="Verdana" w:hAnsi="Verdana"/>
          <w:color w:val="000000"/>
          <w:sz w:val="18"/>
          <w:szCs w:val="18"/>
        </w:rPr>
        <w:lastRenderedPageBreak/>
        <w:t>ханафитской концепции государственности были выявлены идейные первоисточники и причины возникновения государственно-правовых учений основателя школы Абуханифы и всей ханафитской школы права в целом. Эти первоисточники и причины можно классифицировать на: 1) религиозно-правовые, в которых раскрывается влияние исламских правовых источников на формирование государственно-правового учения ханафизма. Подобные первоисточники являются главными, нормативистскими, они определяют юридическую специфику ханафитского учения о государстве; 2) классические идеи и принципы, оказавшие непосредственное влияние на сложение особенностей ханафитских учений о государстве; 3) политические – как причинные основы развития ханафитских учений о справедливой государственности; 4) принцип рациональности и разумности в праве; 5) традиционные, основанные на местных обычаях; 6) назидательные – состоящие из совокупности правил обеспечения справедливого государственного управления, установленные в наставлениях Абуханифы своим ученикам;</w:t>
      </w:r>
    </w:p>
    <w:p w14:paraId="34B98D96" w14:textId="77777777" w:rsidR="003358BD" w:rsidRDefault="003358BD" w:rsidP="003358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теории халифата в государственно-правовом учении ханафизма</w:t>
      </w:r>
    </w:p>
    <w:p w14:paraId="4D798BC2"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Последователи Абуханифы способствовали распространению ханафитских идей государственности уже тогда, когда Абуханифа возглавлял куфийскую школу права (в 737 г.). И все же самый значительный вклад в разработку ханафитской теории государства внесли те ученики и последователи Абуханифы, которые входили в первую группу, т.е. группы классиков ханафитской школы права. Здесь было бы очень кстати рассмотреть роль некоторых из них, а именно Абу Юсуфа и Мухаммада Шайбани в развитии ханафитской концепции государственности.</w:t>
      </w:r>
    </w:p>
    <w:p w14:paraId="4AF36A44"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Абу Юсуф был самым лучшим профессионально ориентированным учеником Абуханифы. Начиная с 22-летнего возраста, он занимался изучением правовой доктрины своего учителя, в частности его государственно-правовой и судебной концепции.</w:t>
      </w:r>
    </w:p>
    <w:p w14:paraId="774095E8"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правление Аббасидского халифа Харуна-ар-Рашида Абу Юсуф был назначен на пост верховного судьи (казия) государства, что вполне сочеталось с его стремлением познать истинный смысл и назначение государственной власти и ее ветвей в жизни общества. В связи с этим, указывая на талант и стремление своего ученика, Абуханифа говорил: «Не желай быть главным в городе, где есть Абу Юсуф»2.</w:t>
      </w:r>
    </w:p>
    <w:p w14:paraId="03C3D202"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Будучи главным судьей, Абу Юсуф впервые в практике деятельности государственного аппарата Арабского халифата, в целях эффективной организации надзора за соблюдением законов, сформировал профессиональную команду судей и администраторов для работы в судебно-административном секторе государственного управления Халифата.1</w:t>
      </w:r>
    </w:p>
    <w:p w14:paraId="0A5C396C"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профессиональная практика Абу Юсуфа в качестве государственного чиновника высшего ранга, обосновавшего новые методы кадровой политики, способствовала дальнейшему развитию прикладных основ государственно-правового учения ханафизма.</w:t>
      </w:r>
    </w:p>
    <w:p w14:paraId="0F139B89"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наибольший вклад Абу Юсуфа в развитие ханафитской концепции государственности можно проследить по его доктринальной работе «Китаб ал-харадж». По этому поводу немецкий ученый Альфред фон Кремер справедливо отмечал, что «было бы трудно составить </w:t>
      </w:r>
      <w:r>
        <w:rPr>
          <w:rFonts w:ascii="Verdana" w:hAnsi="Verdana"/>
          <w:color w:val="000000"/>
          <w:sz w:val="18"/>
          <w:szCs w:val="18"/>
        </w:rPr>
        <w:lastRenderedPageBreak/>
        <w:t>себе иное понятие о его деятельности, если б до нас не дошло сочинение одного из усерднейших приверженцев Кази Абу Юсуфа, в котором он слово в слово передат нам мнения своего учителя об одной из важнейших областей исламского права, а именно о государственном и административном»2. «Китаб ал-харадж» представляет собой доктринальное наследие Абу Юсуфа, в котором обоснованы концепции социально-политических, правовых и экономических механизмом формирования и развития справедливого государственного управления. По словам Абу Юсуфа, оно было написано по просьбе халифа (амир-аль-муъминина) для того, чтобы устранить смуты, беспорядок и насилие с целью принесения народу мира и согласия.3 Иными словами, «Китаб ал-харадж», представляя собой доктринальный свод политико-правовых наставлений Абу Юсуфа главе государства – халифу, одновременно является идейным продолжением назидательно-правового наследия Абуханифы.</w:t>
      </w:r>
    </w:p>
    <w:p w14:paraId="7E428C31"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В тоже время «Китаб ал-харадж», соединяя в себе теоретический свод налогово-правовых норм, особо ориентирует на политико-правовую организацию и обеспечение справедливого государственного правления, что делает возможным считать его комплексным ханафитским доктринальным государственно-правовым источником. Видимо, поэтому Абу Юсуф часто рекомендовал халифу подробно его изучать.1</w:t>
      </w:r>
    </w:p>
    <w:p w14:paraId="5A092132"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Абу Юсуф оказал важное влияние на развитие ханафитской концепции государственности именно посредством актуализации проблемы обеспечения эффективности исполнения внутренних функций государства.</w:t>
      </w:r>
    </w:p>
    <w:p w14:paraId="2B4B5C7F"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Другой авторитетный ученик Абуханифы – Мухаммад Шайбани, связывал ханафитскую концепцию государственности с совершенствованием права международных договоров. Основным предметом его исследования выступали внешние функции государства, в большей мере касающиеся заключения международных договоров. Государственно-правовая концепция Мухаммада Шайбани выражается через призму теории «Муахадат-уд дували» («Межгосударственный договор»). По этой его теории, международный договор (муахада) является одним из важнейших средств поддержания мира и стабильности между мусульманскими и немусульманскими государствами. Мухаммад Шайбани таким своим подходом содействовал формированию в государственно-правовом учении ханафизма особой отрасли – международного государственного права.</w:t>
      </w:r>
    </w:p>
    <w:p w14:paraId="05284C1B" w14:textId="77777777" w:rsidR="003358BD" w:rsidRDefault="003358BD" w:rsidP="003358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Представления мавераннахрских факихов о сущности и значении государственной власти: концепция справедливого государственного управления</w:t>
      </w:r>
    </w:p>
    <w:p w14:paraId="75FC64B9"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об исторических особенностях формирования государственно-правовых учений ханафитских факихов Мавераннахра представляется достаточно сложным и многогранным. Сущность данной проблемы может быть основательно раскрыта лишь при классифицированном подходе к ее изучению. По нашему мнению, исторические особенности формирования государственно-правовой концепции зависели от следующих факторов:</w:t>
      </w:r>
    </w:p>
    <w:p w14:paraId="6EB100E5"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 религиозно-правовой фактор, определяющий специфику теологического влияния исламского классического права на формирование государственно-правовых учений ханафитских </w:t>
      </w:r>
      <w:r>
        <w:rPr>
          <w:rFonts w:ascii="Verdana" w:hAnsi="Verdana"/>
          <w:color w:val="000000"/>
          <w:sz w:val="18"/>
          <w:szCs w:val="18"/>
        </w:rPr>
        <w:lastRenderedPageBreak/>
        <w:t>факихов мавераннахрского течения. В связи с этим, исламское право является главным нормативным первоисточником, определяющим фундаментально-правовую специфику мавераннахрских учений о государственном управлении;</w:t>
      </w:r>
    </w:p>
    <w:p w14:paraId="177C3C6B"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2) политические факторы местного значения - как сила позитивного влияния действующей политической власти на формирование государственно-правовых идей ханафизма в рамках Мавераннахра;</w:t>
      </w:r>
    </w:p>
    <w:p w14:paraId="142685A7"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3) классические ханафитские правовые идеи и принципы - как важный фактор образования местных мавераннахрских течений ханафизма, посредством которого обосновывается главная сущностная особенность мавераннахрских учений о государстве. Рассмотрим эти факторы подробнее.</w:t>
      </w:r>
    </w:p>
    <w:p w14:paraId="24E214A9"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1. Религиозно-правовой фактор. Своеобразие распространения норм исламского права в Мавераннахре сыграло существенную роль в формировании идейных истоков доктрин мавераннахрских факихов о государственном управлении. Исходя из этого, является весьма актуальным раскрытие особенностей распространения норм исламского права в Мавераннахре.</w:t>
      </w:r>
    </w:p>
    <w:p w14:paraId="103F6BB1"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процесс влияния исламского права на формирование государственно-правовых доктрин ханафитских факихов Мавераннахра можно разделить на два периода:</w:t>
      </w:r>
    </w:p>
    <w:p w14:paraId="6C132609"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1) период становления и распространения исламского права как права религии (705-755 гг.). В это время происходит процесс распространения и популяризации теологических норм ислама, состоящих главным образом из правил следования культу единобожия, совершения молитв, уплаты закята и др. Подобные правила выступали теологической первоосновой укрепления отрасли исламского государственного управления на территориях Средней Азии;</w:t>
      </w:r>
    </w:p>
    <w:p w14:paraId="35A72513"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2) период консолидации исламского права с традиционными правовыми источниками Мавераннахра (с 826 г. до конца XII в.). В этот период через призму влияния первых местных форм государственного управления, которым выступало управление Тахиридов, происходит процесс взаимодействия и синтеза норм мусульманского права с местными обычаями, результатами которого стали быстрое распространение, популяризация и развитие на местном уровне комплекса норм мусульманского права. В этом процессе также достаточно важная роль принадлежала правителиям династий Саманидов, Караханидов и авторитетным факихам их эпох. На наш взгляд, особого внимания заслуживает первый период становления и распространения исламского права на территориях</w:t>
      </w:r>
    </w:p>
    <w:p w14:paraId="684622D7"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Мавераннахра. Согласно исследованиям отечественных ученых, популяризация норм исламского права в большей мере связана со вторым завоевательным походом арабов (705-755 гг.) на территории исторического Таджикистана.1 После вторичного покорения мусульманами территории Средней Азии социальная и политическая атмосфера этих регионов была поставлена под влияние теологических постулатов и норм главных источников исламского права - Корана и сунны. К примеру, в 86 г. х. при заходе в Мерв мусульманский военачальник Кутайба ибн Муслим, руководствуясь теологическими нормами источников исламского права, призывал народ к </w:t>
      </w:r>
      <w:r>
        <w:rPr>
          <w:rFonts w:ascii="Verdana" w:hAnsi="Verdana"/>
          <w:color w:val="000000"/>
          <w:sz w:val="18"/>
          <w:szCs w:val="18"/>
        </w:rPr>
        <w:lastRenderedPageBreak/>
        <w:t>осуществлению одной из важных целей исламской государственности того времени, а именно к «пропаганде религии».1</w:t>
      </w:r>
    </w:p>
    <w:p w14:paraId="65B3833F"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Такая настроенность завоевателей вскоре превратилась в действенное средство реализации теологических норм исламского права, которые в будущем стали ориентиром и составной частью сознания, поведения и деятельности народов Мавераннахра. Название «Мавераннахр» происходит от арабского слова «ма-вара а ан-нахр» и означает «то, что за рекой». Это название появилось в период завоевания арабами восточных территорий, расположенных за рекой Амударья. Вскоре благодаря культурным и экономическим достижениям эта территория превратилась в политический центр, и под ней стали подразумевать всю территорию Центральной Азии2. Постепенно все общественные и управленческие отношения в Мавераннахре стали строго регулироваться теологическо-правовыми нормами исламского права. В данном процессе первым проявлением императивной сущности действия исламского права в Мавераннахре выступали исламские государственные нормы и принципы. Мусульмане-завоеватели с целью осуществления контроля над захваченными территориями установили для местного населения и властей неординарные условия государственно-административного значения. Например, они предъявляли особые требования к сбору налоговых платежей с населения и местной власти.3</w:t>
      </w:r>
    </w:p>
    <w:p w14:paraId="32BEEC5E" w14:textId="77777777" w:rsidR="003358BD" w:rsidRDefault="003358BD" w:rsidP="003358B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и значение ханафитских правовых идей в становлении государственности таджикского народа</w:t>
      </w:r>
    </w:p>
    <w:p w14:paraId="617E9BE0"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государственно-правовым учениям факихов, справедливость в государственной власти обеспечивается только при наличии у субъектов правления, в частности правителя, хороших профессиональных качеств. В связи с этим, ханафитский факих Абубакр аль-Васити отмечает: «В твоих делах твое сердце и разум не должны соответствовать собственным интересам и остерегайся от таких дел, которые поведут тебя неправедным путем. Открой свой разум и свое сердце там, где отсутствует твой интерес, и тогда откроется тебе истинный путь»1. Абубакр аль-Васити трудности обеспечения справедливого правления связывает с ответственностью правителя перед законом, напоминая, что «каждая совершнная несправедливость и противозаконность осуждаются законом»2.</w:t>
      </w:r>
    </w:p>
    <w:p w14:paraId="512ED663"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В учении факиха Абуязида Бастами правитель, осознавая свою профессиональную ответственность, должен также обладать богобоязненностью и добродушием по отношению к народу. Мыслитель считал, что «перед Богом самыми близкими и почитаемыми существами являются те, кто больше всех взял на себя ношу народа и всегда справедливо и добродушно относится к ним»3.</w:t>
      </w:r>
    </w:p>
    <w:p w14:paraId="0CE37107"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Главным требованием к властвующим у факиха Фузайла Аза является достойное, родственное отношение к своему народу. Он справедливо замечает: «Если хочешь избавиться от гнева Аллаха, почитай старых, подобно своему отцу, молодых, подобно своим братьям и сестрам, младших, подобно своим детям. Государство в целом - это твой дом, и народ в нем -твоя семья. Так посети своего отца, будь великодушным и милосердным к своему брату и делай добро своим детям»4.</w:t>
      </w:r>
    </w:p>
    <w:p w14:paraId="0C73E3F3"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Ханафитский факих из Мерва Абулаббас Сайри также связывает искусство справедливого государственного правления с профессиональными достоинствами правителя. Однажды его спросили: «Каким образом последователь достигает уважения и почитания?». Он ответил: «Посредством терпения к священным устоям и беспрекословного подчинения требованиям закона, ограничения запретного и бесед с праведными учеными».1</w:t>
      </w:r>
    </w:p>
    <w:p w14:paraId="54FCA2EA"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2. Принцип абсолютной ответственности правителя: «ноша правителя слишком велика».</w:t>
      </w:r>
    </w:p>
    <w:p w14:paraId="7B02C957"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учениям факихов Мавераннахра, правитель, осознав важность исполнения государственных обязанностей, должен применить все свои возможности для осознания, понимания того, как следует управлять государством и обществом. При обосновании юридической регламентации обязанностей правителя и государственных чиновников мавераннахрские факихи исходили из положений тех норм первоисточников шариата, которые опровергали одностороннее субъективное устремление к исполнению властных полномочий. Свои идеи о правлении и власти факихи Мавераннахра старались воплотить на практике. В частности, Абуисхак Ибрагим ибн Адхам ибн Мансур Балхи (ум. в 782 г.), ученик Абуханифы,2 был правителем Балха. Он добровольно отказался от этой должности и остаток жизни провел в аскетическом одиночестве. Его однажды спросили: «Что стало причиной того, что ты оставил престол?». Ответил: «Однажды сидел я на троне, и дали мне зеркало, взглянув в которое я увидел свое жиль внутри темного кладбища. Здесь не было никого, кроме меня. Увидел далекий путь, по которому я шел один и увидел также в конце дороги казия, который стал распрашивать меня (о моих поступках), и не было у меня моих доказательств. Тогда охладело мое сердце к правлению, и я покинул престол».3 Идея строго объективной деятельности правителя разрабатывалась и ханафитским факихом Маъруфом Кархи - учеником Давуда Таи (ученик Абуханифы), который часто повторял: «Кто любит правление, тот не достигнет спасения».1</w:t>
      </w:r>
    </w:p>
    <w:p w14:paraId="34F302BF"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абсолютной ответственности правителя, по Абуязиду Бастами, обосновывается идеей о пределе государственной деятельности правителя, запрете несвоевременного стремления к власти: «И сказано, что Аллах предоставил мне 2000 почитаемых должностей, и каждая должность представляла подобие великих государств, но я не принял временное сбережение. И спросил Он меня: «О, Баязид, дарую тебе такое, о чем мечтают люди на земле, а ты отказываешься принять это. Так что ты хочешь?». Ответил: «Хочу то, что ничего не хочу (от земной жизни)».2</w:t>
      </w:r>
    </w:p>
    <w:p w14:paraId="69BD21D7"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Мавераннахрские факихи в своих учениях о справедливом государственном правлении уделяли внимание и властным институтам, и нравственно-правовым критерия моценки носителя государственной власти. Строгая подчиненность народа власти, велениям правителя рассматривалась факихами как абсолютно верная закономерность, которая противостояла всяким переменам и смутам, разрушительно действующим на стабильность в государстве. Но это подчинение вовсе не означает, что исламские факихи призывали мириться с несправедливостью и проповедовали идею непротивления злобе и насилию. Главным здесь было недопущение смуты в обществе, пролития безвинной крови, а также общегражданского противостояния, которое в конечном итоге приводит к ослаблению государства. Абу Мути Макхул ан-Насафи в своем учении вполне ясно предписывает таковое подчинение народа государственной власти: «Требование </w:t>
      </w:r>
      <w:r>
        <w:rPr>
          <w:rFonts w:ascii="Verdana" w:hAnsi="Verdana"/>
          <w:color w:val="000000"/>
          <w:sz w:val="18"/>
          <w:szCs w:val="18"/>
        </w:rPr>
        <w:lastRenderedPageBreak/>
        <w:t>одобряемого и запрет порицаемого исходят от верующих, а не от эмиров. Следует слушаться справедливого правителя и терпеть несправедливого. Но когда он приказывает совершить грех, не может быть никакого послушания».1</w:t>
      </w:r>
    </w:p>
    <w:p w14:paraId="17C827C0"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Абулкасим ас-Самарканди также в своих учениях уделяет особое внимание тому, чтобы народ исполнял волю государя и подчинялся ему: «Следует молиться за каждого повелителя по пятницам и праздничным дням, будь он справедливым или нет. Послушание – религиозный долг. Награду или наказание повелитель получит от Бога»2.</w:t>
      </w:r>
    </w:p>
    <w:p w14:paraId="74A9A0C7" w14:textId="77777777" w:rsidR="003358BD" w:rsidRDefault="003358BD" w:rsidP="003358BD">
      <w:pPr>
        <w:pStyle w:val="afffffffffffffffffffffffffff6"/>
        <w:shd w:val="clear" w:color="auto" w:fill="FFFFFF"/>
        <w:rPr>
          <w:rFonts w:ascii="Verdana" w:hAnsi="Verdana"/>
          <w:color w:val="000000"/>
          <w:sz w:val="18"/>
          <w:szCs w:val="18"/>
        </w:rPr>
      </w:pPr>
      <w:r>
        <w:rPr>
          <w:rFonts w:ascii="Verdana" w:hAnsi="Verdana"/>
          <w:color w:val="000000"/>
          <w:sz w:val="18"/>
          <w:szCs w:val="18"/>
        </w:rPr>
        <w:t>Учение о пределах управленческих функций государственной власти. Исламско-правовые нормы о пределах управленческой функции государственной власти, на наш взгляд, особенно полно рассмотрены в мавераннахрской политико-правовой мысли. Ученые-факихи на основе таковых норм широко обсуждали проблемы осуществления государственной власти. Учение о пределах государственной власти базируется на рассуждениях ученых-факихов о принципе относительной свободы действий правителя в осуществлении государственной власти. Этот принцип выступает одним из главных в концепции мавераннахрских факихов о справедливом государственном управлении. Так, мавераннахрский факих Ибрахим Адхам сосредоточивает свое внимание на осознании границ деятельности правителя и других лиц, осуществляющих управленческую деятельность. Он пишет о важности придерживаться нравственных устоев при определении пределов управленческой деятельности. Примечательны следующие его слова: «Пока ты не почувствуешь тяготы вдовы, не осиротеешь и не оставишь своих детей, не почувствуешь себя в собачьей свалке, тебя не допустят к обществу благородных и мужественных людей».3 В данном случае речь идет о наивысшей справедливости, а этой нравственной категории ханафитские факихи Мавераннахра придавали очень большое значение</w:t>
      </w:r>
    </w:p>
    <w:p w14:paraId="585D3D7B" w14:textId="77777777" w:rsidR="003358BD" w:rsidRPr="003358BD" w:rsidRDefault="003358BD" w:rsidP="003358BD"/>
    <w:sectPr w:rsidR="003358BD" w:rsidRPr="003358B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669A9" w14:textId="77777777" w:rsidR="003A2FB7" w:rsidRDefault="003A2FB7">
      <w:pPr>
        <w:spacing w:after="0" w:line="240" w:lineRule="auto"/>
      </w:pPr>
      <w:r>
        <w:separator/>
      </w:r>
    </w:p>
  </w:endnote>
  <w:endnote w:type="continuationSeparator" w:id="0">
    <w:p w14:paraId="225937FE" w14:textId="77777777" w:rsidR="003A2FB7" w:rsidRDefault="003A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72A80" w14:textId="77777777" w:rsidR="003A2FB7" w:rsidRDefault="003A2FB7">
      <w:pPr>
        <w:spacing w:after="0" w:line="240" w:lineRule="auto"/>
      </w:pPr>
      <w:r>
        <w:separator/>
      </w:r>
    </w:p>
  </w:footnote>
  <w:footnote w:type="continuationSeparator" w:id="0">
    <w:p w14:paraId="1ED4E498" w14:textId="77777777" w:rsidR="003A2FB7" w:rsidRDefault="003A2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9"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5"/>
  </w:num>
  <w:num w:numId="7">
    <w:abstractNumId w:val="44"/>
  </w:num>
  <w:num w:numId="8">
    <w:abstractNumId w:val="44"/>
    <w:lvlOverride w:ilvl="1">
      <w:startOverride w:val="5"/>
    </w:lvlOverride>
  </w:num>
  <w:num w:numId="9">
    <w:abstractNumId w:val="44"/>
    <w:lvlOverride w:ilvl="1">
      <w:startOverride w:val="12"/>
    </w:lvlOverride>
  </w:num>
  <w:num w:numId="10">
    <w:abstractNumId w:val="29"/>
  </w:num>
  <w:num w:numId="11">
    <w:abstractNumId w:val="52"/>
  </w:num>
  <w:num w:numId="12">
    <w:abstractNumId w:val="32"/>
  </w:num>
  <w:num w:numId="13">
    <w:abstractNumId w:val="48"/>
  </w:num>
  <w:num w:numId="14">
    <w:abstractNumId w:val="33"/>
  </w:num>
  <w:num w:numId="15">
    <w:abstractNumId w:val="36"/>
  </w:num>
  <w:num w:numId="16">
    <w:abstractNumId w:val="40"/>
  </w:num>
  <w:num w:numId="17">
    <w:abstractNumId w:val="27"/>
  </w:num>
  <w:num w:numId="18">
    <w:abstractNumId w:val="39"/>
  </w:num>
  <w:num w:numId="19">
    <w:abstractNumId w:val="34"/>
  </w:num>
  <w:num w:numId="20">
    <w:abstractNumId w:val="37"/>
  </w:num>
  <w:num w:numId="21">
    <w:abstractNumId w:val="51"/>
  </w:num>
  <w:num w:numId="22">
    <w:abstractNumId w:val="42"/>
  </w:num>
  <w:num w:numId="23">
    <w:abstractNumId w:val="46"/>
  </w:num>
  <w:num w:numId="24">
    <w:abstractNumId w:val="30"/>
  </w:num>
  <w:num w:numId="25">
    <w:abstractNumId w:val="49"/>
  </w:num>
  <w:num w:numId="26">
    <w:abstractNumId w:val="50"/>
  </w:num>
  <w:num w:numId="27">
    <w:abstractNumId w:val="31"/>
  </w:num>
  <w:num w:numId="28">
    <w:abstractNumId w:val="28"/>
  </w:num>
  <w:num w:numId="29">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2FB7"/>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33066</TotalTime>
  <Pages>8</Pages>
  <Words>3387</Words>
  <Characters>19306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6305</cp:revision>
  <cp:lastPrinted>2009-02-06T05:36:00Z</cp:lastPrinted>
  <dcterms:created xsi:type="dcterms:W3CDTF">2016-09-19T15:12:00Z</dcterms:created>
  <dcterms:modified xsi:type="dcterms:W3CDTF">2017-02-22T13:57:00Z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