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828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Кайдановский, Михаил Наумович.</w:t>
      </w:r>
    </w:p>
    <w:p w14:paraId="4744344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Построение спутниковой системы передачи данных для радиоинтерферометров со сверхдлинными базами : диссертация ... доктора технических наук : 01.03.02. - Санкт-Петербург, 1998. - 286 с.</w:t>
      </w:r>
    </w:p>
    <w:p w14:paraId="1E9693B0"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Оглавление диссертациидоктор технических наук Кайдановский, Михаил Наумович</w:t>
      </w:r>
    </w:p>
    <w:p w14:paraId="11AC7F2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ВВЕДЕНИЕ.</w:t>
      </w:r>
    </w:p>
    <w:p w14:paraId="21961E09"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ОСНОВНЫЕ ОБОЗНАЧЕНИЯ.</w:t>
      </w:r>
    </w:p>
    <w:p w14:paraId="170AFB3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ГЛАВА 1. ОСНОВНЫЕ ПРИНЦИПЫ ПОСТРОЕНИЯ</w:t>
      </w:r>
    </w:p>
    <w:p w14:paraId="1B542C7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СИСТЕМЫ ПЕРЕДАЧИ ДАННЫХ.</w:t>
      </w:r>
    </w:p>
    <w:p w14:paraId="0739E57D"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1.1. РСДБ методы определения координат.</w:t>
      </w:r>
    </w:p>
    <w:p w14:paraId="5325983E"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1.2. Анализ основных требований к системе передачи данных.</w:t>
      </w:r>
    </w:p>
    <w:p w14:paraId="644E665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1.3. Этапы развития системы.</w:t>
      </w:r>
    </w:p>
    <w:p w14:paraId="2EB87C42"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1.4. Структурная схема СПРАД.</w:t>
      </w:r>
    </w:p>
    <w:p w14:paraId="7683BE59"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372A5C6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ГЛАВА 2. ПОСТРОЕНИЕ ШЕСТИСТАНЦИОННОЙ СИСТЕМЫ</w:t>
      </w:r>
    </w:p>
    <w:p w14:paraId="6F2705C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ПЕРЕДАЧИ РАДИОАСТРОНОМИЧЕСКИХ ДАННЫХ</w:t>
      </w:r>
    </w:p>
    <w:p w14:paraId="4715658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2.1. Общие характеристики системы.</w:t>
      </w:r>
    </w:p>
    <w:p w14:paraId="1AE4DBC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2.2. Выбор основных параметров сигнала в системе многостанционного доступа.</w:t>
      </w:r>
    </w:p>
    <w:p w14:paraId="58CF9B02"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2.3. Анализ потенциальной точности синхронизации и характеристик помехоустойчивости. СПРАД.</w:t>
      </w:r>
    </w:p>
    <w:p w14:paraId="2F7A8D6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2.4. Энергетические расчеты системы.</w:t>
      </w:r>
    </w:p>
    <w:p w14:paraId="0B8F243A"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2.4.1. Постановка задачи и исходные данные.</w:t>
      </w:r>
    </w:p>
    <w:p w14:paraId="0D6D71F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2.4.2. Выбор космического ретранслятора.</w:t>
      </w:r>
    </w:p>
    <w:p w14:paraId="3AB96FEA"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2.4.3. Энергетический расчет радиолиний.</w:t>
      </w:r>
    </w:p>
    <w:p w14:paraId="7707286A"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2.5. Методы расчета поглощения и собственного радиоизлучения тропосферы.</w:t>
      </w:r>
    </w:p>
    <w:p w14:paraId="68A6647D"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2.5.1. Поглощение в тропосфере без дождя.</w:t>
      </w:r>
    </w:p>
    <w:p w14:paraId="526A048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2.5.2. Поглощение радиоволн на спутниковых линиях при дождях.</w:t>
      </w:r>
    </w:p>
    <w:p w14:paraId="483C5ED9"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2.6. Энергетические расчеты вариантов построения системы</w:t>
      </w:r>
    </w:p>
    <w:p w14:paraId="4F0F805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2.7. Оптимизация зон обслуживания ИСЗ для сети</w:t>
      </w:r>
    </w:p>
    <w:p w14:paraId="20BAD3A9"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КВАЗАР.</w:t>
      </w:r>
    </w:p>
    <w:p w14:paraId="3A56B64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2B9B073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 xml:space="preserve">ГЛАВА 3. ПЕРСПЕКТИВНАЯ СИСТЕМА ПЕРЕДАЧИ РАДИОАСТРОНОМИЧЕСКОЙ </w:t>
      </w:r>
      <w:r w:rsidRPr="003A760E">
        <w:rPr>
          <w:rFonts w:ascii="Helvetica" w:eastAsia="Symbol" w:hAnsi="Helvetica" w:cs="Helvetica"/>
          <w:b/>
          <w:bCs/>
          <w:color w:val="222222"/>
          <w:kern w:val="0"/>
          <w:sz w:val="21"/>
          <w:szCs w:val="21"/>
          <w:lang w:eastAsia="ru-RU"/>
        </w:rPr>
        <w:lastRenderedPageBreak/>
        <w:t>ИНФОРМАЦИИ.</w:t>
      </w:r>
    </w:p>
    <w:p w14:paraId="757007B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3.1. Постановка задачи.</w:t>
      </w:r>
    </w:p>
    <w:p w14:paraId="65E4EFAA"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3.2. Технические характеристики ретранслятора "Поток".</w:t>
      </w:r>
    </w:p>
    <w:p w14:paraId="1ACB341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3.3. Построение системы на базе штатного РТР "Поток".</w:t>
      </w:r>
    </w:p>
    <w:p w14:paraId="0099F5FB"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3.4. Определение зон обслуживания.</w:t>
      </w:r>
    </w:p>
    <w:p w14:paraId="2D7E445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3.5. Расчет энергетики радиолиний и определение пропускной способности стволов.</w:t>
      </w:r>
    </w:p>
    <w:p w14:paraId="600FE91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3.6. Построение системы на базе модифицированного</w:t>
      </w:r>
    </w:p>
    <w:p w14:paraId="5D6DDA8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РТР "Поток".</w:t>
      </w:r>
    </w:p>
    <w:p w14:paraId="5A6553FE"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3.7. Требования к земным станциям системы.</w:t>
      </w:r>
    </w:p>
    <w:p w14:paraId="7C54272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436E712F"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ГЛАВА 4. РЕАЛИЗАЦИЯ СИСТЕМЫ ПЕРЕДАЧИ РАДИОАСТРОНОМИЧЕСКИХ ДАННЫХ И ЕЕ ЭКСПЕРИМЕНТАЛЬНОЕ ИССЛЕДОВАНИЕ.</w:t>
      </w:r>
    </w:p>
    <w:p w14:paraId="7EF9017F"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4.1. Цифровые каналы связи и их размещение в полосе частот спутникового радиоканала.</w:t>
      </w:r>
    </w:p>
    <w:p w14:paraId="31BB54C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4.2. Общая схема организации телефонной связи, передачи сигналов управления и передачи данных в системе.</w:t>
      </w:r>
    </w:p>
    <w:p w14:paraId="7AB04901"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4.3. Формирование и кодирование информационного потока в высокоскоростном цифровом канале.</w:t>
      </w:r>
    </w:p>
    <w:p w14:paraId="57EDAF1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4.4. Радиотехническое оборудование системы передачи данных</w:t>
      </w:r>
    </w:p>
    <w:p w14:paraId="5462C56B"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4.4.1. Антенные системы.</w:t>
      </w:r>
    </w:p>
    <w:p w14:paraId="6C3C7F52"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4.4.2. Приемо-передающее оборудование системы передачи данных.</w:t>
      </w:r>
    </w:p>
    <w:p w14:paraId="67ED6ABE"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4.5. Экспериментальные исследования и испытания созданной системы.</w:t>
      </w:r>
    </w:p>
    <w:p w14:paraId="1A24E1E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4.5.1. Испытания трехстанционной системы на действующих линиях спутниковой связи.</w:t>
      </w:r>
    </w:p>
    <w:p w14:paraId="13FB1D7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4.5.2. Исследования первой очереди трехстанционной сети передачи данных.</w:t>
      </w:r>
    </w:p>
    <w:p w14:paraId="23A5D05F"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2B378F3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ГЛАВА 5. СИНХРОНИЗАЦИЯ УДАЛЕННЫХ ШКАЛ ВРЕМЕНИ</w:t>
      </w:r>
    </w:p>
    <w:p w14:paraId="0D7D645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ПО СПУТНИКОВОМУ КАНАЛУ СВЯЗИ.</w:t>
      </w:r>
    </w:p>
    <w:p w14:paraId="1E7ECB5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Введение.</w:t>
      </w:r>
    </w:p>
    <w:p w14:paraId="014AFCB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5.1. Дуплексный метод синхронизации.</w:t>
      </w:r>
    </w:p>
    <w:p w14:paraId="34CD5F2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5.1.1. Основные принципы достижения максимальной точности</w:t>
      </w:r>
    </w:p>
    <w:p w14:paraId="45C84C3C"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5.1.2. Практический метод синхронизации.</w:t>
      </w:r>
    </w:p>
    <w:p w14:paraId="302182CF"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5.2. Выбор синхронизирующего сигнала.</w:t>
      </w:r>
    </w:p>
    <w:p w14:paraId="10A41BAA"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5.3. Система сличения шкал времени по спутниковому каналу сети КВАЗАР.</w:t>
      </w:r>
    </w:p>
    <w:p w14:paraId="02C601C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lastRenderedPageBreak/>
        <w:t>5.4. Анализ погрешностей сличения шкал времени по спутниковому каналу связи.</w:t>
      </w:r>
    </w:p>
    <w:p w14:paraId="013F11E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5.4.1. Учет аппаратурных погрешностей.</w:t>
      </w:r>
    </w:p>
    <w:p w14:paraId="6B9E7FE4"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5.4.2. Методики непосредственного измерения задержек.</w:t>
      </w:r>
    </w:p>
    <w:p w14:paraId="3A9D4EC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5.4.3. Экспериментальные исследования задержек в аппаратурных задержек.</w:t>
      </w:r>
    </w:p>
    <w:p w14:paraId="3FE3DFD1"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5.4.4. Учет разности электрических длин путей в атмосфере</w:t>
      </w:r>
    </w:p>
    <w:p w14:paraId="240E1F42"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5.4.5. Вычисление релятивистских поправок.</w:t>
      </w:r>
    </w:p>
    <w:p w14:paraId="4CD1E1A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2ACA596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ГЛАВА б.ЭКСПЕРИМЕНТАЛЬНЫЕ ИССЛЕДОВАНИЯ</w:t>
      </w:r>
    </w:p>
    <w:p w14:paraId="2FD46B75"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СИСТЕМЫ СЛИЧЕНИЯ ШКАЛ ВРЕМЕНИ ПО СПУТНИКОВЫМ КАНАЛАМ СЕТИ КВАЗАР.</w:t>
      </w:r>
    </w:p>
    <w:p w14:paraId="032B335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6.1. Экспериментальные исследования в режиме "нулевой базы"</w:t>
      </w:r>
    </w:p>
    <w:p w14:paraId="2B5D16D3"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6.2. Измерения псевдодальности до спутника с использованием аппаратуры системы сличения шкал времени.</w:t>
      </w:r>
    </w:p>
    <w:p w14:paraId="2D41796B"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6.3. Экспериментальные исследования с ненулевой базой.</w:t>
      </w:r>
    </w:p>
    <w:p w14:paraId="43DBC368"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6.4. Сличение шкал времени Санкт-Петербург - Северный</w:t>
      </w:r>
    </w:p>
    <w:p w14:paraId="60E435D6"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Кавказ.</w:t>
      </w:r>
    </w:p>
    <w:p w14:paraId="2DF23067" w14:textId="77777777" w:rsidR="003A760E" w:rsidRPr="003A760E" w:rsidRDefault="003A760E" w:rsidP="003A760E">
      <w:pPr>
        <w:rPr>
          <w:rFonts w:ascii="Helvetica" w:eastAsia="Symbol" w:hAnsi="Helvetica" w:cs="Helvetica"/>
          <w:b/>
          <w:bCs/>
          <w:color w:val="222222"/>
          <w:kern w:val="0"/>
          <w:sz w:val="21"/>
          <w:szCs w:val="21"/>
          <w:lang w:eastAsia="ru-RU"/>
        </w:rPr>
      </w:pPr>
      <w:r w:rsidRPr="003A760E">
        <w:rPr>
          <w:rFonts w:ascii="Helvetica" w:eastAsia="Symbol" w:hAnsi="Helvetica" w:cs="Helvetica"/>
          <w:b/>
          <w:bCs/>
          <w:color w:val="222222"/>
          <w:kern w:val="0"/>
          <w:sz w:val="21"/>
          <w:szCs w:val="21"/>
          <w:lang w:eastAsia="ru-RU"/>
        </w:rPr>
        <w:t>Выводы.</w:t>
      </w:r>
    </w:p>
    <w:p w14:paraId="54F2B699" w14:textId="2FE64D07" w:rsidR="00F505A7" w:rsidRPr="003A760E" w:rsidRDefault="00F505A7" w:rsidP="003A760E"/>
    <w:sectPr w:rsidR="00F505A7" w:rsidRPr="003A76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47B2" w14:textId="77777777" w:rsidR="00E54C96" w:rsidRDefault="00E54C96">
      <w:pPr>
        <w:spacing w:after="0" w:line="240" w:lineRule="auto"/>
      </w:pPr>
      <w:r>
        <w:separator/>
      </w:r>
    </w:p>
  </w:endnote>
  <w:endnote w:type="continuationSeparator" w:id="0">
    <w:p w14:paraId="40E3161F" w14:textId="77777777" w:rsidR="00E54C96" w:rsidRDefault="00E5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9951" w14:textId="77777777" w:rsidR="00E54C96" w:rsidRDefault="00E54C96"/>
    <w:p w14:paraId="1B206EAD" w14:textId="77777777" w:rsidR="00E54C96" w:rsidRDefault="00E54C96"/>
    <w:p w14:paraId="4642A9CE" w14:textId="77777777" w:rsidR="00E54C96" w:rsidRDefault="00E54C96"/>
    <w:p w14:paraId="06791E34" w14:textId="77777777" w:rsidR="00E54C96" w:rsidRDefault="00E54C96"/>
    <w:p w14:paraId="6F88669D" w14:textId="77777777" w:rsidR="00E54C96" w:rsidRDefault="00E54C96"/>
    <w:p w14:paraId="5ED577F0" w14:textId="77777777" w:rsidR="00E54C96" w:rsidRDefault="00E54C96"/>
    <w:p w14:paraId="3E672966" w14:textId="77777777" w:rsidR="00E54C96" w:rsidRDefault="00E54C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AE1D93" wp14:editId="56B176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8411" w14:textId="77777777" w:rsidR="00E54C96" w:rsidRDefault="00E5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E1D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E88411" w14:textId="77777777" w:rsidR="00E54C96" w:rsidRDefault="00E5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C0786" w14:textId="77777777" w:rsidR="00E54C96" w:rsidRDefault="00E54C96"/>
    <w:p w14:paraId="60A94E82" w14:textId="77777777" w:rsidR="00E54C96" w:rsidRDefault="00E54C96"/>
    <w:p w14:paraId="5A35BF38" w14:textId="77777777" w:rsidR="00E54C96" w:rsidRDefault="00E54C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1A2943" wp14:editId="13ADE9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49BB" w14:textId="77777777" w:rsidR="00E54C96" w:rsidRDefault="00E54C96"/>
                          <w:p w14:paraId="3A25399D" w14:textId="77777777" w:rsidR="00E54C96" w:rsidRDefault="00E5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A29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7C49BB" w14:textId="77777777" w:rsidR="00E54C96" w:rsidRDefault="00E54C96"/>
                    <w:p w14:paraId="3A25399D" w14:textId="77777777" w:rsidR="00E54C96" w:rsidRDefault="00E5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5BA0F" w14:textId="77777777" w:rsidR="00E54C96" w:rsidRDefault="00E54C96"/>
    <w:p w14:paraId="1FEFAED0" w14:textId="77777777" w:rsidR="00E54C96" w:rsidRDefault="00E54C96">
      <w:pPr>
        <w:rPr>
          <w:sz w:val="2"/>
          <w:szCs w:val="2"/>
        </w:rPr>
      </w:pPr>
    </w:p>
    <w:p w14:paraId="4912217A" w14:textId="77777777" w:rsidR="00E54C96" w:rsidRDefault="00E54C96"/>
    <w:p w14:paraId="579B1CD6" w14:textId="77777777" w:rsidR="00E54C96" w:rsidRDefault="00E54C96">
      <w:pPr>
        <w:spacing w:after="0" w:line="240" w:lineRule="auto"/>
      </w:pPr>
    </w:p>
  </w:footnote>
  <w:footnote w:type="continuationSeparator" w:id="0">
    <w:p w14:paraId="3EB27E9C" w14:textId="77777777" w:rsidR="00E54C96" w:rsidRDefault="00E5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C96"/>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107951</TotalTime>
  <Pages>3</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1590</cp:revision>
  <cp:lastPrinted>2009-02-06T05:36:00Z</cp:lastPrinted>
  <dcterms:created xsi:type="dcterms:W3CDTF">2024-01-07T13:43:00Z</dcterms:created>
  <dcterms:modified xsi:type="dcterms:W3CDTF">2025-06-07T16:29:00Z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