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0DA" w:rsidRPr="00BB10DA" w:rsidRDefault="00BB10DA" w:rsidP="00BB10DA">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BB10DA">
        <w:rPr>
          <w:rFonts w:ascii="Arial" w:hAnsi="Arial" w:cs="Arial"/>
          <w:b/>
          <w:bCs/>
          <w:color w:val="000000"/>
          <w:kern w:val="0"/>
          <w:sz w:val="28"/>
          <w:szCs w:val="28"/>
          <w:lang w:eastAsia="ru-RU"/>
        </w:rPr>
        <w:t>Сорокін Денис Володимирович</w:t>
      </w:r>
      <w:r w:rsidRPr="00BB10DA">
        <w:rPr>
          <w:rFonts w:ascii="Arial" w:hAnsi="Arial" w:cs="Arial"/>
          <w:color w:val="000000"/>
          <w:kern w:val="0"/>
          <w:sz w:val="28"/>
          <w:szCs w:val="28"/>
          <w:lang w:eastAsia="ru-RU"/>
        </w:rPr>
        <w:t xml:space="preserve">, аспірант Державного університету телекомунікацій, тема дисертації: «Методика створення захищених спеціалізованих мереж для підвищення ефективності надання промислових сервісів», (125 Кібербезпека). Спеціалізована вчена рада ДФ 26.861.004 у Державному університеті телекомунікацій </w:t>
      </w:r>
    </w:p>
    <w:p w:rsidR="00C26D80" w:rsidRPr="00BB10DA" w:rsidRDefault="00C26D80" w:rsidP="00BB10DA"/>
    <w:sectPr w:rsidR="00C26D80" w:rsidRPr="00BB10D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BB10DA" w:rsidRPr="00BB10D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E89F9-BDBA-4838-A916-2B8EE1AF0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1</Pages>
  <Words>46</Words>
  <Characters>265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89</cp:revision>
  <cp:lastPrinted>2009-02-06T05:36:00Z</cp:lastPrinted>
  <dcterms:created xsi:type="dcterms:W3CDTF">2021-10-21T12:16:00Z</dcterms:created>
  <dcterms:modified xsi:type="dcterms:W3CDTF">2021-10-22T11:53:00Z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