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8D4C" w14:textId="77777777" w:rsidR="005D045A" w:rsidRDefault="005D045A" w:rsidP="005D045A">
      <w:pPr>
        <w:pStyle w:val="afffffffffffffffffffffffffff5"/>
        <w:rPr>
          <w:rFonts w:ascii="Verdana" w:hAnsi="Verdana"/>
          <w:color w:val="000000"/>
          <w:sz w:val="21"/>
          <w:szCs w:val="21"/>
        </w:rPr>
      </w:pPr>
      <w:r>
        <w:rPr>
          <w:rFonts w:ascii="Helvetica" w:hAnsi="Helvetica" w:cs="Helvetica"/>
          <w:b/>
          <w:bCs w:val="0"/>
          <w:color w:val="222222"/>
          <w:sz w:val="21"/>
          <w:szCs w:val="21"/>
        </w:rPr>
        <w:t>Алхуссейн Хасан.</w:t>
      </w:r>
    </w:p>
    <w:p w14:paraId="652A77CC" w14:textId="77777777" w:rsidR="005D045A" w:rsidRDefault="005D045A" w:rsidP="005D045A">
      <w:pPr>
        <w:pStyle w:val="20"/>
        <w:spacing w:before="0" w:after="312"/>
        <w:rPr>
          <w:rFonts w:ascii="Arial" w:hAnsi="Arial" w:cs="Arial"/>
          <w:caps/>
          <w:color w:val="333333"/>
          <w:sz w:val="27"/>
          <w:szCs w:val="27"/>
        </w:rPr>
      </w:pPr>
      <w:r>
        <w:rPr>
          <w:rFonts w:ascii="Helvetica" w:hAnsi="Helvetica" w:cs="Helvetica"/>
          <w:caps/>
          <w:color w:val="222222"/>
          <w:sz w:val="21"/>
          <w:szCs w:val="21"/>
        </w:rPr>
        <w:t>Вычисление когомологий Хохшильда при помощи соответствия Морса : Computation of Hochschild cohomology via Morse matching : Computation of Hochschild cohomology via Morse matching : диссертация ... кандидата физико-математических наук : 01.01.06 / Алхуссейн Хасан; [Место защиты: ФГАОУ ВО «Новосибирский национальный исследовательский государственный университет»]. - Новосибирск, 2022. - 112 с. : ил.</w:t>
      </w:r>
    </w:p>
    <w:p w14:paraId="2942A91F" w14:textId="77777777" w:rsidR="005D045A" w:rsidRDefault="005D045A" w:rsidP="005D045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Алхуссейн Хасан</w:t>
      </w:r>
    </w:p>
    <w:p w14:paraId="7D5EE632"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Contents.</w:t>
      </w:r>
    </w:p>
    <w:p w14:paraId="3CB2077F" w14:textId="77777777" w:rsidR="005D045A" w:rsidRPr="005D045A" w:rsidRDefault="005D045A" w:rsidP="005D045A">
      <w:pPr>
        <w:pStyle w:val="afffffffffffffffffffffffffff5"/>
        <w:spacing w:before="0" w:beforeAutospacing="0" w:after="312" w:afterAutospacing="0"/>
        <w:rPr>
          <w:rFonts w:ascii="Arial" w:hAnsi="Arial" w:cs="Arial"/>
          <w:color w:val="333333"/>
          <w:sz w:val="21"/>
          <w:szCs w:val="21"/>
          <w:lang w:val="en-US"/>
        </w:rPr>
      </w:pPr>
      <w:r w:rsidRPr="005D045A">
        <w:rPr>
          <w:rFonts w:ascii="Arial" w:hAnsi="Arial" w:cs="Arial"/>
          <w:color w:val="333333"/>
          <w:sz w:val="21"/>
          <w:szCs w:val="21"/>
          <w:lang w:val="en-US"/>
        </w:rPr>
        <w:t>Introduction</w:t>
      </w:r>
    </w:p>
    <w:p w14:paraId="14D66C61" w14:textId="77777777" w:rsidR="005D045A" w:rsidRPr="005D045A" w:rsidRDefault="005D045A" w:rsidP="005D045A">
      <w:pPr>
        <w:pStyle w:val="afffffffffffffffffffffffffff5"/>
        <w:spacing w:before="0" w:beforeAutospacing="0" w:after="312" w:afterAutospacing="0"/>
        <w:rPr>
          <w:rFonts w:ascii="Arial" w:hAnsi="Arial" w:cs="Arial"/>
          <w:color w:val="333333"/>
          <w:sz w:val="21"/>
          <w:szCs w:val="21"/>
          <w:lang w:val="en-US"/>
        </w:rPr>
      </w:pPr>
      <w:r w:rsidRPr="005D045A">
        <w:rPr>
          <w:rFonts w:ascii="Arial" w:hAnsi="Arial" w:cs="Arial"/>
          <w:color w:val="333333"/>
          <w:sz w:val="21"/>
          <w:szCs w:val="21"/>
          <w:lang w:val="en-US"/>
        </w:rPr>
        <w:t>1. Main definitions and Statements</w:t>
      </w:r>
    </w:p>
    <w:p w14:paraId="01088588" w14:textId="77777777" w:rsidR="005D045A" w:rsidRPr="005D045A" w:rsidRDefault="005D045A" w:rsidP="005D045A">
      <w:pPr>
        <w:pStyle w:val="afffffffffffffffffffffffffff5"/>
        <w:spacing w:before="0" w:beforeAutospacing="0" w:after="312" w:afterAutospacing="0"/>
        <w:rPr>
          <w:rFonts w:ascii="Arial" w:hAnsi="Arial" w:cs="Arial"/>
          <w:color w:val="333333"/>
          <w:sz w:val="21"/>
          <w:szCs w:val="21"/>
          <w:lang w:val="en-US"/>
        </w:rPr>
      </w:pPr>
      <w:r w:rsidRPr="005D045A">
        <w:rPr>
          <w:rFonts w:ascii="Arial" w:hAnsi="Arial" w:cs="Arial"/>
          <w:color w:val="333333"/>
          <w:sz w:val="21"/>
          <w:szCs w:val="21"/>
          <w:lang w:val="en-US"/>
        </w:rPr>
        <w:t>§1.1 Composition-Diamond Lemma for Associate Algebras</w:t>
      </w:r>
    </w:p>
    <w:p w14:paraId="3EF7600A" w14:textId="77777777" w:rsidR="005D045A" w:rsidRPr="005D045A" w:rsidRDefault="005D045A" w:rsidP="005D045A">
      <w:pPr>
        <w:pStyle w:val="afffffffffffffffffffffffffff5"/>
        <w:spacing w:before="0" w:beforeAutospacing="0" w:after="312" w:afterAutospacing="0"/>
        <w:rPr>
          <w:rFonts w:ascii="Arial" w:hAnsi="Arial" w:cs="Arial"/>
          <w:color w:val="333333"/>
          <w:sz w:val="21"/>
          <w:szCs w:val="21"/>
          <w:lang w:val="en-US"/>
        </w:rPr>
      </w:pPr>
      <w:r w:rsidRPr="005D045A">
        <w:rPr>
          <w:rFonts w:ascii="Arial" w:hAnsi="Arial" w:cs="Arial"/>
          <w:color w:val="333333"/>
          <w:sz w:val="21"/>
          <w:szCs w:val="21"/>
          <w:lang w:val="en-US"/>
        </w:rPr>
        <w:t>§1.2 Morse matching</w:t>
      </w:r>
    </w:p>
    <w:p w14:paraId="332C2ADD" w14:textId="77777777" w:rsidR="005D045A" w:rsidRPr="005D045A" w:rsidRDefault="005D045A" w:rsidP="005D045A">
      <w:pPr>
        <w:pStyle w:val="afffffffffffffffffffffffffff5"/>
        <w:spacing w:before="0" w:beforeAutospacing="0" w:after="312" w:afterAutospacing="0"/>
        <w:rPr>
          <w:rFonts w:ascii="Arial" w:hAnsi="Arial" w:cs="Arial"/>
          <w:color w:val="333333"/>
          <w:sz w:val="21"/>
          <w:szCs w:val="21"/>
          <w:lang w:val="en-US"/>
        </w:rPr>
      </w:pPr>
      <w:r w:rsidRPr="005D045A">
        <w:rPr>
          <w:rFonts w:ascii="Arial" w:hAnsi="Arial" w:cs="Arial"/>
          <w:color w:val="333333"/>
          <w:sz w:val="21"/>
          <w:szCs w:val="21"/>
          <w:lang w:val="en-US"/>
        </w:rPr>
        <w:t>2. The Hochschild cohomology of the group G2</w:t>
      </w:r>
    </w:p>
    <w:p w14:paraId="40752D50" w14:textId="77777777" w:rsidR="005D045A" w:rsidRPr="005D045A" w:rsidRDefault="005D045A" w:rsidP="005D045A">
      <w:pPr>
        <w:pStyle w:val="afffffffffffffffffffffffffff5"/>
        <w:spacing w:before="0" w:beforeAutospacing="0" w:after="312" w:afterAutospacing="0"/>
        <w:rPr>
          <w:rFonts w:ascii="Arial" w:hAnsi="Arial" w:cs="Arial"/>
          <w:color w:val="333333"/>
          <w:sz w:val="21"/>
          <w:szCs w:val="21"/>
          <w:lang w:val="en-US"/>
        </w:rPr>
      </w:pPr>
      <w:r w:rsidRPr="005D045A">
        <w:rPr>
          <w:rFonts w:ascii="Arial" w:hAnsi="Arial" w:cs="Arial"/>
          <w:color w:val="333333"/>
          <w:sz w:val="21"/>
          <w:szCs w:val="21"/>
          <w:lang w:val="en-US"/>
        </w:rPr>
        <w:t>§2.1 The Anick complex for G2</w:t>
      </w:r>
    </w:p>
    <w:p w14:paraId="6A582569" w14:textId="77777777" w:rsidR="005D045A" w:rsidRPr="005D045A" w:rsidRDefault="005D045A" w:rsidP="005D045A">
      <w:pPr>
        <w:pStyle w:val="afffffffffffffffffffffffffff5"/>
        <w:spacing w:before="0" w:beforeAutospacing="0" w:after="312" w:afterAutospacing="0"/>
        <w:rPr>
          <w:rFonts w:ascii="Arial" w:hAnsi="Arial" w:cs="Arial"/>
          <w:color w:val="333333"/>
          <w:sz w:val="21"/>
          <w:szCs w:val="21"/>
          <w:lang w:val="en-US"/>
        </w:rPr>
      </w:pPr>
      <w:r w:rsidRPr="005D045A">
        <w:rPr>
          <w:rFonts w:ascii="Arial" w:hAnsi="Arial" w:cs="Arial"/>
          <w:color w:val="333333"/>
          <w:sz w:val="21"/>
          <w:szCs w:val="21"/>
          <w:lang w:val="en-US"/>
        </w:rPr>
        <w:t>§2.2 Hochschild cohomologies of G2</w:t>
      </w:r>
    </w:p>
    <w:p w14:paraId="52A014B2" w14:textId="77777777" w:rsidR="005D045A" w:rsidRPr="005D045A" w:rsidRDefault="005D045A" w:rsidP="005D045A">
      <w:pPr>
        <w:pStyle w:val="afffffffffffffffffffffffffff5"/>
        <w:spacing w:before="0" w:beforeAutospacing="0" w:after="312" w:afterAutospacing="0"/>
        <w:rPr>
          <w:rFonts w:ascii="Arial" w:hAnsi="Arial" w:cs="Arial"/>
          <w:color w:val="333333"/>
          <w:sz w:val="21"/>
          <w:szCs w:val="21"/>
          <w:lang w:val="en-US"/>
        </w:rPr>
      </w:pPr>
      <w:r w:rsidRPr="005D045A">
        <w:rPr>
          <w:rFonts w:ascii="Arial" w:hAnsi="Arial" w:cs="Arial"/>
          <w:color w:val="333333"/>
          <w:sz w:val="21"/>
          <w:szCs w:val="21"/>
          <w:lang w:val="en-US"/>
        </w:rPr>
        <w:t>3. Anick complex, Hochschild cohomology, Hilbert and Poincare series of the Manturov (3,4)-group</w:t>
      </w:r>
    </w:p>
    <w:p w14:paraId="6246CB8D" w14:textId="77777777" w:rsidR="005D045A" w:rsidRPr="005D045A" w:rsidRDefault="005D045A" w:rsidP="005D045A">
      <w:pPr>
        <w:pStyle w:val="afffffffffffffffffffffffffff5"/>
        <w:spacing w:before="0" w:beforeAutospacing="0" w:after="312" w:afterAutospacing="0"/>
        <w:rPr>
          <w:rFonts w:ascii="Arial" w:hAnsi="Arial" w:cs="Arial"/>
          <w:color w:val="333333"/>
          <w:sz w:val="21"/>
          <w:szCs w:val="21"/>
          <w:lang w:val="en-US"/>
        </w:rPr>
      </w:pPr>
      <w:r w:rsidRPr="005D045A">
        <w:rPr>
          <w:rFonts w:ascii="Arial" w:hAnsi="Arial" w:cs="Arial"/>
          <w:color w:val="333333"/>
          <w:sz w:val="21"/>
          <w:szCs w:val="21"/>
          <w:lang w:val="en-US"/>
        </w:rPr>
        <w:t>§3.1 The Anick complex for G4</w:t>
      </w:r>
    </w:p>
    <w:p w14:paraId="50FBC6B9" w14:textId="77777777" w:rsidR="005D045A" w:rsidRPr="005D045A" w:rsidRDefault="005D045A" w:rsidP="005D045A">
      <w:pPr>
        <w:pStyle w:val="afffffffffffffffffffffffffff5"/>
        <w:spacing w:before="0" w:beforeAutospacing="0" w:after="312" w:afterAutospacing="0"/>
        <w:rPr>
          <w:rFonts w:ascii="Arial" w:hAnsi="Arial" w:cs="Arial"/>
          <w:color w:val="333333"/>
          <w:sz w:val="21"/>
          <w:szCs w:val="21"/>
          <w:lang w:val="en-US"/>
        </w:rPr>
      </w:pPr>
      <w:r w:rsidRPr="005D045A">
        <w:rPr>
          <w:rFonts w:ascii="Arial" w:hAnsi="Arial" w:cs="Arial"/>
          <w:color w:val="333333"/>
          <w:sz w:val="21"/>
          <w:szCs w:val="21"/>
          <w:lang w:val="en-US"/>
        </w:rPr>
        <w:t>§3.2 The Hochschild cohomology groups of G3</w:t>
      </w:r>
    </w:p>
    <w:p w14:paraId="660393A0"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Hilbert and Poincare series of the Manturov (3,4)-group</w:t>
      </w:r>
    </w:p>
    <w:p w14:paraId="32435AF6"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The Hochschild cohomology of the Chinese monoid algebra</w:t>
      </w:r>
    </w:p>
    <w:p w14:paraId="5D05502E"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The Anick complex for the Chinese algebra</w:t>
      </w:r>
    </w:p>
    <w:p w14:paraId="2FE1D31F"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Application of Anick resolution on k[Cn]</w:t>
      </w:r>
    </w:p>
    <w:p w14:paraId="056D2102"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Grobner-Shirshov basis and Hochschild cohomology of the Manturov group rf</w:t>
      </w:r>
    </w:p>
    <w:p w14:paraId="46980DE9"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Grobner-Shirshov basis for</w:t>
      </w:r>
    </w:p>
    <w:p w14:paraId="525A88B9"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The Anick complex for</w:t>
      </w:r>
    </w:p>
    <w:p w14:paraId="763BFC51"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Application of Anick resolution on</w:t>
      </w:r>
    </w:p>
    <w:p w14:paraId="764BAAD4"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On the Hochschild cohomology of universal enveloping associative conformal algebras</w:t>
      </w:r>
    </w:p>
    <w:p w14:paraId="4FE58D83"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Preliminaries</w:t>
      </w:r>
    </w:p>
    <w:p w14:paraId="3472B63A"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Cohomology of universal associative conformai envelopes of the</w:t>
      </w:r>
    </w:p>
    <w:p w14:paraId="2FC5AE88"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Virasoro conformai algebra U(3)</w:t>
      </w:r>
    </w:p>
    <w:p w14:paraId="4DC55A9E"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Cohomologies of the Weyl conformal conformal algebra U(2) . . . 100 §6.4 Morse matching method for conformal cohomologies</w:t>
      </w:r>
    </w:p>
    <w:p w14:paraId="2732369E"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References</w:t>
      </w:r>
    </w:p>
    <w:p w14:paraId="4C660F5C" w14:textId="77777777" w:rsidR="005D045A" w:rsidRDefault="005D045A" w:rsidP="005D04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Publication on the topic of the dissertation</w:t>
      </w:r>
    </w:p>
    <w:p w14:paraId="4FDAD129" w14:textId="4D25DA4B" w:rsidR="00BD642D" w:rsidRPr="005D045A" w:rsidRDefault="00BD642D" w:rsidP="005D045A"/>
    <w:sectPr w:rsidR="00BD642D" w:rsidRPr="005D04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5539" w14:textId="77777777" w:rsidR="00484A83" w:rsidRDefault="00484A83">
      <w:pPr>
        <w:spacing w:after="0" w:line="240" w:lineRule="auto"/>
      </w:pPr>
      <w:r>
        <w:separator/>
      </w:r>
    </w:p>
  </w:endnote>
  <w:endnote w:type="continuationSeparator" w:id="0">
    <w:p w14:paraId="4D2AD015" w14:textId="77777777" w:rsidR="00484A83" w:rsidRDefault="0048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5572" w14:textId="77777777" w:rsidR="00484A83" w:rsidRDefault="00484A83"/>
    <w:p w14:paraId="3FCEC05E" w14:textId="77777777" w:rsidR="00484A83" w:rsidRDefault="00484A83"/>
    <w:p w14:paraId="79B6BAB3" w14:textId="77777777" w:rsidR="00484A83" w:rsidRDefault="00484A83"/>
    <w:p w14:paraId="72255C16" w14:textId="77777777" w:rsidR="00484A83" w:rsidRDefault="00484A83"/>
    <w:p w14:paraId="1E4AA9F6" w14:textId="77777777" w:rsidR="00484A83" w:rsidRDefault="00484A83"/>
    <w:p w14:paraId="3167007C" w14:textId="77777777" w:rsidR="00484A83" w:rsidRDefault="00484A83"/>
    <w:p w14:paraId="578A5EC6" w14:textId="77777777" w:rsidR="00484A83" w:rsidRDefault="00484A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F530DE" wp14:editId="7D60B6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C778C" w14:textId="77777777" w:rsidR="00484A83" w:rsidRDefault="00484A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530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7C778C" w14:textId="77777777" w:rsidR="00484A83" w:rsidRDefault="00484A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62C7F0" w14:textId="77777777" w:rsidR="00484A83" w:rsidRDefault="00484A83"/>
    <w:p w14:paraId="529D459C" w14:textId="77777777" w:rsidR="00484A83" w:rsidRDefault="00484A83"/>
    <w:p w14:paraId="76846296" w14:textId="77777777" w:rsidR="00484A83" w:rsidRDefault="00484A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405E5C" wp14:editId="7A70A3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DFCBE" w14:textId="77777777" w:rsidR="00484A83" w:rsidRDefault="00484A83"/>
                          <w:p w14:paraId="38A5E5AF" w14:textId="77777777" w:rsidR="00484A83" w:rsidRDefault="00484A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405E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0DFCBE" w14:textId="77777777" w:rsidR="00484A83" w:rsidRDefault="00484A83"/>
                    <w:p w14:paraId="38A5E5AF" w14:textId="77777777" w:rsidR="00484A83" w:rsidRDefault="00484A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C70A6E" w14:textId="77777777" w:rsidR="00484A83" w:rsidRDefault="00484A83"/>
    <w:p w14:paraId="21E7F435" w14:textId="77777777" w:rsidR="00484A83" w:rsidRDefault="00484A83">
      <w:pPr>
        <w:rPr>
          <w:sz w:val="2"/>
          <w:szCs w:val="2"/>
        </w:rPr>
      </w:pPr>
    </w:p>
    <w:p w14:paraId="5A904B5A" w14:textId="77777777" w:rsidR="00484A83" w:rsidRDefault="00484A83"/>
    <w:p w14:paraId="6CA79B14" w14:textId="77777777" w:rsidR="00484A83" w:rsidRDefault="00484A83">
      <w:pPr>
        <w:spacing w:after="0" w:line="240" w:lineRule="auto"/>
      </w:pPr>
    </w:p>
  </w:footnote>
  <w:footnote w:type="continuationSeparator" w:id="0">
    <w:p w14:paraId="536F4F3A" w14:textId="77777777" w:rsidR="00484A83" w:rsidRDefault="0048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83"/>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97000</TotalTime>
  <Pages>2</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625</cp:revision>
  <cp:lastPrinted>2009-02-06T05:36:00Z</cp:lastPrinted>
  <dcterms:created xsi:type="dcterms:W3CDTF">2024-01-07T13:43:00Z</dcterms:created>
  <dcterms:modified xsi:type="dcterms:W3CDTF">2025-05-20T17:31:00Z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