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4CAA"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Столбов, Сергей Данилович.</w:t>
      </w:r>
    </w:p>
    <w:p w14:paraId="21050507"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Закономерности изменения кристаллографической текстуры и физико-механических свойств сплавов на основе циркония в температурном интервале 20-1200 °С : диссертация ... кандидата технических наук : 01.04.07 / Столбов Сергей Данилович; [Место защиты: ФГАОУ ВО «Национальный исследовательский ядерный университет «МИФИ»]. - Москва, 2021. - 142 с. : ил.</w:t>
      </w:r>
    </w:p>
    <w:p w14:paraId="589EAD44"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Оглавление диссертациикандидат наук Столбов Сергей Данилович</w:t>
      </w:r>
    </w:p>
    <w:p w14:paraId="5A69EDBB"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1.1. Влияние кристаллографической текстуры на термические свойства циркониевых сплавов</w:t>
      </w:r>
    </w:p>
    <w:p w14:paraId="2CD20B95"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1.2. Кривые термического расширения изделий из зарубежных и отечественных циркониевых сплавов</w:t>
      </w:r>
    </w:p>
    <w:p w14:paraId="11131525"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1.2.1. Термическое расширение чистого циркония</w:t>
      </w:r>
    </w:p>
    <w:p w14:paraId="241EE0E5"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1.2.2. Термическое расширение отечественных и зарубежных сплавов на основе циркония</w:t>
      </w:r>
    </w:p>
    <w:p w14:paraId="4FA66A5C"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1.3. Изменение структуры и текстуры циркониевых сплавов при ФП</w:t>
      </w:r>
    </w:p>
    <w:p w14:paraId="3E4B3BF7"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1.4 Влияние напряженного состояния на ФП</w:t>
      </w:r>
    </w:p>
    <w:p w14:paraId="674845D3"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1.4.1. Появление ГЦК-фазы в гексагональных металлах</w:t>
      </w:r>
    </w:p>
    <w:p w14:paraId="5AAB9A59"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1.4.2 Динамические процессы при горячей деформации</w:t>
      </w:r>
    </w:p>
    <w:p w14:paraId="044D3B5A"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1.4.3. Влияние напряженного состояния на протекание ФП</w:t>
      </w:r>
    </w:p>
    <w:p w14:paraId="21EA9834"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1.5. Структурные и кристаллографические особенности нанесения защитных покрытий</w:t>
      </w:r>
    </w:p>
    <w:p w14:paraId="3FDDD8AF"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на оболочки твэлов и их поведение в аварийной ситуации</w:t>
      </w:r>
    </w:p>
    <w:p w14:paraId="3CCE8A97"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Выводы к главе</w:t>
      </w:r>
    </w:p>
    <w:p w14:paraId="5AA7949A"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Глава 2. Методы анализа кристаллографической текстуры, структуры и физико-механических свойств сплавов на основе циркония</w:t>
      </w:r>
    </w:p>
    <w:p w14:paraId="69FCB84D"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2.1. Рентгеновские методы исследования структурно-фазового состояния и текстуры циркониевых изделий</w:t>
      </w:r>
    </w:p>
    <w:p w14:paraId="1F375271"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2.1.1. Высокотемпературное измерение параметров кристаллической структуры и ТКЛР а-фазы</w:t>
      </w:r>
    </w:p>
    <w:p w14:paraId="2862852E"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2.1.2. Метод измерения неполных прямых полюсных фигур для исследования кристаллографической текстуры циркониевых изделий</w:t>
      </w:r>
    </w:p>
    <w:p w14:paraId="669BFE2A"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2.1.3. Метод построения обобщенных прямых полюсных фигур</w:t>
      </w:r>
    </w:p>
    <w:p w14:paraId="097283E7"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2.1.4. Построение полных прямых полюсных фигур (ПППФ)</w:t>
      </w:r>
    </w:p>
    <w:p w14:paraId="093AE4F3"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2.1.5. Расчет интегральных текстурных параметров Кёрнса</w:t>
      </w:r>
    </w:p>
    <w:p w14:paraId="336E0250"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2.1.6. Расчет изменения размеров текстурованных изделий при нагреве по данным рентгеновского анализа</w:t>
      </w:r>
    </w:p>
    <w:p w14:paraId="1E5B8E35"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2.1.7. Расчет контуров текучести по данным о кристаллографической текстуре</w:t>
      </w:r>
    </w:p>
    <w:p w14:paraId="396B443F"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2.2. Дилатометрические измерения оболочечных труб и прутков</w:t>
      </w:r>
    </w:p>
    <w:p w14:paraId="6325F92E"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lastRenderedPageBreak/>
        <w:t>2.3. Особенности подготовки образцов циркониевых сплавов для экспериментов</w:t>
      </w:r>
    </w:p>
    <w:p w14:paraId="42D540D0"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2.3.1. Подготовка образцов для высокотемпературного рентгеновского определения</w:t>
      </w:r>
    </w:p>
    <w:p w14:paraId="0A244302"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параметра кристаллической структуры</w:t>
      </w:r>
    </w:p>
    <w:p w14:paraId="2C2B563B"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2.3.2 Подготовка прутков и оболочечных труб для исследования текстуры и микроструктуры</w:t>
      </w:r>
    </w:p>
    <w:p w14:paraId="1597D93F"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2.3.3. Подготовка образцов для дилатометрических измерений в трех направлениях</w:t>
      </w:r>
    </w:p>
    <w:p w14:paraId="7D76081F"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2.3.4. Подготовка образцов канальных труб для исследования анизотропии термического расширения и ФП под нагрузкой</w:t>
      </w:r>
    </w:p>
    <w:p w14:paraId="34227CFB"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Выводы к главе</w:t>
      </w:r>
    </w:p>
    <w:p w14:paraId="2A217C6E"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Глава 3. Влияние текстуры и фазового состава изделий из циркониевых сплавов на их формоизменение в интервале температур 20-1200 °С</w:t>
      </w:r>
    </w:p>
    <w:p w14:paraId="61AF5A3B"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3.1. Закономерности термического расширения изделий из сплава Э110 опт с разной текстурой</w:t>
      </w:r>
    </w:p>
    <w:p w14:paraId="1F257435"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3.1.1. Особенности термического расширения изделий в интервале температур 20600 °С</w:t>
      </w:r>
    </w:p>
    <w:p w14:paraId="7AE7E8DF"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3.1.2. Закономерности термического расширения при ФП в сплаве Э110 опт</w:t>
      </w:r>
    </w:p>
    <w:p w14:paraId="2DDDA820"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3.1.3. Аналитическое выражение для дилатометрической кривой в интервале температур 20-1200 °С</w:t>
      </w:r>
    </w:p>
    <w:p w14:paraId="2B87A9DE"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3.2. Влияние текстуры и фазового состава труб из сплава Zr-2,5Nb на их термическое расширение</w:t>
      </w:r>
    </w:p>
    <w:p w14:paraId="0E8C861D"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3.2.1. Структура и кристаллографическая текстура исходных образцов</w:t>
      </w:r>
    </w:p>
    <w:p w14:paraId="4001BF8E"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3.2.3. Особенности ТКЛР деформированных и отожженных канальных труб в</w:t>
      </w:r>
    </w:p>
    <w:p w14:paraId="1E1E8D32"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температурном интервале 20-1200°С</w:t>
      </w:r>
    </w:p>
    <w:p w14:paraId="151B6C24"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Выводы к главе</w:t>
      </w:r>
    </w:p>
    <w:p w14:paraId="581064AA"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Глава 4. Ориентационная зависимость протекания фазовых превращений в циркониевых сплавах</w:t>
      </w:r>
    </w:p>
    <w:p w14:paraId="07F2A175"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4.1. Изменение фазового состава циркониевых изделий после циклов а^-р^-а-ФП</w:t>
      </w:r>
    </w:p>
    <w:p w14:paraId="0228B4DD"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4.2. Закономерности изменения кристаллографической текстуры циркониевых изделий в результате а^-р^-а-ФП</w:t>
      </w:r>
    </w:p>
    <w:p w14:paraId="6EAF2DF7"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4.3. Влияние напряженного состояния на протекание ФП</w:t>
      </w:r>
    </w:p>
    <w:p w14:paraId="518358F7"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4.3.1. Активизация ФП в кольцевых образцах при воздействии внешней нагрузки</w:t>
      </w:r>
    </w:p>
    <w:p w14:paraId="36F8CC6E"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4.3.2. Изменение ориентированного роста зерен а-фазы при охлаждении из Р-фазы в присутствии направленной нагрузки</w:t>
      </w:r>
    </w:p>
    <w:p w14:paraId="01C7637E"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4.3.3. Изменение механических свойств и поведение материала под нагрузкой при высокой температуре</w:t>
      </w:r>
    </w:p>
    <w:p w14:paraId="59408FD8"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Выводы к главе</w:t>
      </w:r>
    </w:p>
    <w:p w14:paraId="1CDB3EB8"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lastRenderedPageBreak/>
        <w:t>Глава 5. Роль кристаллографической текстуры защитных покрытий на оболочечной трубе из циркониевых сплавов</w:t>
      </w:r>
    </w:p>
    <w:p w14:paraId="2201DCE1"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5.1. Исследованные оболочечные трубы с нанесенным на них покрытием</w:t>
      </w:r>
    </w:p>
    <w:p w14:paraId="3C837AE1"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5.2. Кристаллографическая текстура, структура и фазовый состав нанесенного покрытия и подложки в исходном состоянии</w:t>
      </w:r>
    </w:p>
    <w:p w14:paraId="1B0DED19"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5.3. Влияние покрытия, нанесенного на оболочечную трубу, на протекание ФП в сплаве Э110 опт</w:t>
      </w:r>
    </w:p>
    <w:p w14:paraId="004D8604"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5.4. Влияние структуры и текстуры покрытия на высокотемпературное окисление оболочечных труб</w:t>
      </w:r>
    </w:p>
    <w:p w14:paraId="391B0831"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ОБЩИЕ ВЫВОДЫ</w:t>
      </w:r>
    </w:p>
    <w:p w14:paraId="5D16173E"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Список использованных источников</w:t>
      </w:r>
    </w:p>
    <w:p w14:paraId="33868CC7"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Приложение 1. Акт об использовании результатов в АО ВНИИНМ</w:t>
      </w:r>
    </w:p>
    <w:p w14:paraId="4BD36D4F" w14:textId="77777777" w:rsidR="003D477B" w:rsidRPr="003D477B" w:rsidRDefault="003D477B" w:rsidP="003D477B">
      <w:pPr>
        <w:rPr>
          <w:rFonts w:ascii="Helvetica" w:eastAsia="Symbol" w:hAnsi="Helvetica" w:cs="Helvetica"/>
          <w:b/>
          <w:bCs/>
          <w:color w:val="222222"/>
          <w:kern w:val="0"/>
          <w:sz w:val="21"/>
          <w:szCs w:val="21"/>
          <w:lang w:eastAsia="ru-RU"/>
        </w:rPr>
      </w:pPr>
      <w:r w:rsidRPr="003D477B">
        <w:rPr>
          <w:rFonts w:ascii="Helvetica" w:eastAsia="Symbol" w:hAnsi="Helvetica" w:cs="Helvetica"/>
          <w:b/>
          <w:bCs/>
          <w:color w:val="222222"/>
          <w:kern w:val="0"/>
          <w:sz w:val="21"/>
          <w:szCs w:val="21"/>
          <w:lang w:eastAsia="ru-RU"/>
        </w:rPr>
        <w:t>Приложение 2. Акт об использовании результатов в ПАО МСЗ</w:t>
      </w:r>
    </w:p>
    <w:p w14:paraId="071EBB05" w14:textId="024FE928" w:rsidR="00E67B85" w:rsidRPr="003D477B" w:rsidRDefault="00E67B85" w:rsidP="003D477B"/>
    <w:sectPr w:rsidR="00E67B85" w:rsidRPr="003D47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5DA1" w14:textId="77777777" w:rsidR="00732A98" w:rsidRDefault="00732A98">
      <w:pPr>
        <w:spacing w:after="0" w:line="240" w:lineRule="auto"/>
      </w:pPr>
      <w:r>
        <w:separator/>
      </w:r>
    </w:p>
  </w:endnote>
  <w:endnote w:type="continuationSeparator" w:id="0">
    <w:p w14:paraId="00A03828" w14:textId="77777777" w:rsidR="00732A98" w:rsidRDefault="0073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FC46" w14:textId="77777777" w:rsidR="00732A98" w:rsidRDefault="00732A98"/>
    <w:p w14:paraId="597DDC86" w14:textId="77777777" w:rsidR="00732A98" w:rsidRDefault="00732A98"/>
    <w:p w14:paraId="4C81EB61" w14:textId="77777777" w:rsidR="00732A98" w:rsidRDefault="00732A98"/>
    <w:p w14:paraId="2F2FB4E4" w14:textId="77777777" w:rsidR="00732A98" w:rsidRDefault="00732A98"/>
    <w:p w14:paraId="543B61B3" w14:textId="77777777" w:rsidR="00732A98" w:rsidRDefault="00732A98"/>
    <w:p w14:paraId="051FE5D3" w14:textId="77777777" w:rsidR="00732A98" w:rsidRDefault="00732A98"/>
    <w:p w14:paraId="33C0824E" w14:textId="77777777" w:rsidR="00732A98" w:rsidRDefault="00732A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08BA38" wp14:editId="00DCAA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4F467" w14:textId="77777777" w:rsidR="00732A98" w:rsidRDefault="00732A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8BA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54F467" w14:textId="77777777" w:rsidR="00732A98" w:rsidRDefault="00732A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53BC14" w14:textId="77777777" w:rsidR="00732A98" w:rsidRDefault="00732A98"/>
    <w:p w14:paraId="566351FC" w14:textId="77777777" w:rsidR="00732A98" w:rsidRDefault="00732A98"/>
    <w:p w14:paraId="3B4D212A" w14:textId="77777777" w:rsidR="00732A98" w:rsidRDefault="00732A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3ED27" wp14:editId="41FDCE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C9067" w14:textId="77777777" w:rsidR="00732A98" w:rsidRDefault="00732A98"/>
                          <w:p w14:paraId="37DC9A3B" w14:textId="77777777" w:rsidR="00732A98" w:rsidRDefault="00732A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3ED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1C9067" w14:textId="77777777" w:rsidR="00732A98" w:rsidRDefault="00732A98"/>
                    <w:p w14:paraId="37DC9A3B" w14:textId="77777777" w:rsidR="00732A98" w:rsidRDefault="00732A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FE2253" w14:textId="77777777" w:rsidR="00732A98" w:rsidRDefault="00732A98"/>
    <w:p w14:paraId="68778A5D" w14:textId="77777777" w:rsidR="00732A98" w:rsidRDefault="00732A98">
      <w:pPr>
        <w:rPr>
          <w:sz w:val="2"/>
          <w:szCs w:val="2"/>
        </w:rPr>
      </w:pPr>
    </w:p>
    <w:p w14:paraId="4D04052D" w14:textId="77777777" w:rsidR="00732A98" w:rsidRDefault="00732A98"/>
    <w:p w14:paraId="2E475EB3" w14:textId="77777777" w:rsidR="00732A98" w:rsidRDefault="00732A98">
      <w:pPr>
        <w:spacing w:after="0" w:line="240" w:lineRule="auto"/>
      </w:pPr>
    </w:p>
  </w:footnote>
  <w:footnote w:type="continuationSeparator" w:id="0">
    <w:p w14:paraId="02AD07F8" w14:textId="77777777" w:rsidR="00732A98" w:rsidRDefault="0073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98"/>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109430</TotalTime>
  <Pages>3</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1676</cp:revision>
  <cp:lastPrinted>2009-02-06T05:36:00Z</cp:lastPrinted>
  <dcterms:created xsi:type="dcterms:W3CDTF">2024-01-07T13:43:00Z</dcterms:created>
  <dcterms:modified xsi:type="dcterms:W3CDTF">2025-06-08T18:28:00Z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