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7865" w14:textId="77777777" w:rsidR="00BC53B7" w:rsidRDefault="00BC53B7" w:rsidP="00BC53B7">
      <w:pPr>
        <w:pStyle w:val="afffffffffffffffffffffffffff5"/>
        <w:rPr>
          <w:rFonts w:ascii="Verdana" w:hAnsi="Verdana"/>
          <w:color w:val="000000"/>
          <w:sz w:val="21"/>
          <w:szCs w:val="21"/>
        </w:rPr>
      </w:pPr>
      <w:r>
        <w:rPr>
          <w:rFonts w:ascii="Helvetica" w:hAnsi="Helvetica" w:cs="Helvetica"/>
          <w:b/>
          <w:bCs w:val="0"/>
          <w:color w:val="222222"/>
          <w:sz w:val="21"/>
          <w:szCs w:val="21"/>
        </w:rPr>
        <w:t>Давыдова, Татьяна Сергеевна.</w:t>
      </w:r>
    </w:p>
    <w:p w14:paraId="01FA7D02" w14:textId="77777777" w:rsidR="00BC53B7" w:rsidRDefault="00BC53B7" w:rsidP="00BC53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Конструктивное описание пространств непрерывных функций на системах </w:t>
      </w:r>
      <w:proofErr w:type="gramStart"/>
      <w:r>
        <w:rPr>
          <w:rFonts w:ascii="Helvetica" w:hAnsi="Helvetica" w:cs="Helvetica"/>
          <w:caps/>
          <w:color w:val="222222"/>
          <w:sz w:val="21"/>
          <w:szCs w:val="21"/>
        </w:rPr>
        <w:t>лучей :</w:t>
      </w:r>
      <w:proofErr w:type="gramEnd"/>
      <w:r>
        <w:rPr>
          <w:rFonts w:ascii="Helvetica" w:hAnsi="Helvetica" w:cs="Helvetica"/>
          <w:caps/>
          <w:color w:val="222222"/>
          <w:sz w:val="21"/>
          <w:szCs w:val="21"/>
        </w:rPr>
        <w:t xml:space="preserve"> диссертация ... кандидата физико-математических наук : 01.01.01. - Санкт-Петербург, 1999. - 85 с.</w:t>
      </w:r>
    </w:p>
    <w:p w14:paraId="019A5FB1" w14:textId="77777777" w:rsidR="00BC53B7" w:rsidRDefault="00BC53B7" w:rsidP="00BC53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Давыдова, Татьяна Сергеевна</w:t>
      </w:r>
    </w:p>
    <w:p w14:paraId="1A55B1FE"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9A1995"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История вопросов, исследуемых в диссертации.</w:t>
      </w:r>
    </w:p>
    <w:p w14:paraId="06D45EAD"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Основное содержание диссертации.</w:t>
      </w:r>
    </w:p>
    <w:p w14:paraId="1C40CDF8"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Аналог теоремы </w:t>
      </w:r>
      <w:proofErr w:type="spellStart"/>
      <w:r>
        <w:rPr>
          <w:rFonts w:ascii="Arial" w:hAnsi="Arial" w:cs="Arial"/>
          <w:color w:val="333333"/>
          <w:sz w:val="21"/>
          <w:szCs w:val="21"/>
        </w:rPr>
        <w:t>С.Н.Бернштейна</w:t>
      </w:r>
      <w:proofErr w:type="spellEnd"/>
      <w:r>
        <w:rPr>
          <w:rFonts w:ascii="Arial" w:hAnsi="Arial" w:cs="Arial"/>
          <w:color w:val="333333"/>
          <w:sz w:val="21"/>
          <w:szCs w:val="21"/>
        </w:rPr>
        <w:t xml:space="preserve"> для функций, неограниченных на оси.</w:t>
      </w:r>
    </w:p>
    <w:p w14:paraId="7D2A62A1"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Приближение функций из класса </w:t>
      </w:r>
      <w:proofErr w:type="spellStart"/>
      <w:r>
        <w:rPr>
          <w:rFonts w:ascii="Arial" w:hAnsi="Arial" w:cs="Arial"/>
          <w:color w:val="333333"/>
          <w:sz w:val="21"/>
          <w:szCs w:val="21"/>
        </w:rPr>
        <w:t>Гёльдера</w:t>
      </w:r>
      <w:proofErr w:type="spellEnd"/>
      <w:r>
        <w:rPr>
          <w:rFonts w:ascii="Arial" w:hAnsi="Arial" w:cs="Arial"/>
          <w:color w:val="333333"/>
          <w:sz w:val="21"/>
          <w:szCs w:val="21"/>
        </w:rPr>
        <w:t xml:space="preserve"> на полуоси.</w:t>
      </w:r>
    </w:p>
    <w:p w14:paraId="5E16BBE3"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Некоторые определения и формулировка результата.</w:t>
      </w:r>
    </w:p>
    <w:p w14:paraId="2932E7FB"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1.Предварительные</w:t>
      </w:r>
      <w:proofErr w:type="gramEnd"/>
      <w:r>
        <w:rPr>
          <w:rFonts w:ascii="Arial" w:hAnsi="Arial" w:cs="Arial"/>
          <w:color w:val="333333"/>
          <w:sz w:val="21"/>
          <w:szCs w:val="21"/>
        </w:rPr>
        <w:t xml:space="preserve"> соображения по способу аппроксимации функции £.</w:t>
      </w:r>
    </w:p>
    <w:p w14:paraId="20FA4CF8"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Окончательный вариант приближающей функции.</w:t>
      </w:r>
    </w:p>
    <w:p w14:paraId="3D679631"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Оценка ^(</w:t>
      </w:r>
      <w:proofErr w:type="spellStart"/>
      <w:r>
        <w:rPr>
          <w:rFonts w:ascii="Arial" w:hAnsi="Arial" w:cs="Arial"/>
          <w:color w:val="333333"/>
          <w:sz w:val="21"/>
          <w:szCs w:val="21"/>
        </w:rPr>
        <w:t>хК^х</w:t>
      </w:r>
      <w:proofErr w:type="spellEnd"/>
      <w:r>
        <w:rPr>
          <w:rFonts w:ascii="Arial" w:hAnsi="Arial" w:cs="Arial"/>
          <w:color w:val="333333"/>
          <w:sz w:val="21"/>
          <w:szCs w:val="21"/>
        </w:rPr>
        <w:t>) при х&gt;0.</w:t>
      </w:r>
    </w:p>
    <w:p w14:paraId="49F9B64F" w14:textId="77777777" w:rsidR="00BC53B7" w:rsidRDefault="00BC53B7" w:rsidP="00BC53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Обратная теорема о приближении функций на полуоси.</w:t>
      </w:r>
    </w:p>
    <w:p w14:paraId="54F2B699" w14:textId="045814EC" w:rsidR="00F505A7" w:rsidRPr="00BC53B7" w:rsidRDefault="00F505A7" w:rsidP="00BC53B7"/>
    <w:sectPr w:rsidR="00F505A7" w:rsidRPr="00BC53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4E87" w14:textId="77777777" w:rsidR="00A051DF" w:rsidRDefault="00A051DF">
      <w:pPr>
        <w:spacing w:after="0" w:line="240" w:lineRule="auto"/>
      </w:pPr>
      <w:r>
        <w:separator/>
      </w:r>
    </w:p>
  </w:endnote>
  <w:endnote w:type="continuationSeparator" w:id="0">
    <w:p w14:paraId="4717B491" w14:textId="77777777" w:rsidR="00A051DF" w:rsidRDefault="00A0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92F5" w14:textId="77777777" w:rsidR="00A051DF" w:rsidRDefault="00A051DF"/>
    <w:p w14:paraId="0CAC89EA" w14:textId="77777777" w:rsidR="00A051DF" w:rsidRDefault="00A051DF"/>
    <w:p w14:paraId="52337F5E" w14:textId="77777777" w:rsidR="00A051DF" w:rsidRDefault="00A051DF"/>
    <w:p w14:paraId="1CAA1D2E" w14:textId="77777777" w:rsidR="00A051DF" w:rsidRDefault="00A051DF"/>
    <w:p w14:paraId="452E33FE" w14:textId="77777777" w:rsidR="00A051DF" w:rsidRDefault="00A051DF"/>
    <w:p w14:paraId="188D7FA7" w14:textId="77777777" w:rsidR="00A051DF" w:rsidRDefault="00A051DF"/>
    <w:p w14:paraId="0766DE1F" w14:textId="77777777" w:rsidR="00A051DF" w:rsidRDefault="00A051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E7BC10" wp14:editId="4A26A9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00035" w14:textId="77777777" w:rsidR="00A051DF" w:rsidRDefault="00A05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7BC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B00035" w14:textId="77777777" w:rsidR="00A051DF" w:rsidRDefault="00A05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64046F" w14:textId="77777777" w:rsidR="00A051DF" w:rsidRDefault="00A051DF"/>
    <w:p w14:paraId="680AE080" w14:textId="77777777" w:rsidR="00A051DF" w:rsidRDefault="00A051DF"/>
    <w:p w14:paraId="045387F6" w14:textId="77777777" w:rsidR="00A051DF" w:rsidRDefault="00A051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51BA18" wp14:editId="025D12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C9D61" w14:textId="77777777" w:rsidR="00A051DF" w:rsidRDefault="00A051DF"/>
                          <w:p w14:paraId="5BDE72AB" w14:textId="77777777" w:rsidR="00A051DF" w:rsidRDefault="00A05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1BA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6C9D61" w14:textId="77777777" w:rsidR="00A051DF" w:rsidRDefault="00A051DF"/>
                    <w:p w14:paraId="5BDE72AB" w14:textId="77777777" w:rsidR="00A051DF" w:rsidRDefault="00A05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93ACB4" w14:textId="77777777" w:rsidR="00A051DF" w:rsidRDefault="00A051DF"/>
    <w:p w14:paraId="2355420B" w14:textId="77777777" w:rsidR="00A051DF" w:rsidRDefault="00A051DF">
      <w:pPr>
        <w:rPr>
          <w:sz w:val="2"/>
          <w:szCs w:val="2"/>
        </w:rPr>
      </w:pPr>
    </w:p>
    <w:p w14:paraId="18D372DF" w14:textId="77777777" w:rsidR="00A051DF" w:rsidRDefault="00A051DF"/>
    <w:p w14:paraId="02EA8472" w14:textId="77777777" w:rsidR="00A051DF" w:rsidRDefault="00A051DF">
      <w:pPr>
        <w:spacing w:after="0" w:line="240" w:lineRule="auto"/>
      </w:pPr>
    </w:p>
  </w:footnote>
  <w:footnote w:type="continuationSeparator" w:id="0">
    <w:p w14:paraId="06B4925E" w14:textId="77777777" w:rsidR="00A051DF" w:rsidRDefault="00A0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1DF"/>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104758</TotalTime>
  <Pages>1</Pages>
  <Words>116</Words>
  <Characters>666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1156</cp:revision>
  <cp:lastPrinted>2009-02-06T05:36:00Z</cp:lastPrinted>
  <dcterms:created xsi:type="dcterms:W3CDTF">2024-01-07T13:43:00Z</dcterms:created>
  <dcterms:modified xsi:type="dcterms:W3CDTF">2025-06-01T13:43:00Z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