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AF72" w14:textId="77777777" w:rsidR="008C0FA0" w:rsidRDefault="008C0FA0" w:rsidP="008C0FA0">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Швалов</w:t>
      </w:r>
      <w:proofErr w:type="spellEnd"/>
      <w:r>
        <w:rPr>
          <w:rFonts w:ascii="Helvetica Neue" w:hAnsi="Helvetica Neue"/>
          <w:b/>
          <w:bCs w:val="0"/>
          <w:color w:val="222222"/>
          <w:sz w:val="21"/>
          <w:szCs w:val="21"/>
        </w:rPr>
        <w:t>, Александр Николаевич.</w:t>
      </w:r>
    </w:p>
    <w:p w14:paraId="6616518C" w14:textId="77777777" w:rsidR="008C0FA0" w:rsidRDefault="008C0FA0" w:rsidP="008C0FA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светорассеивающих свойств несферических биологических частиц с использованием сканирующей проточной </w:t>
      </w:r>
      <w:proofErr w:type="gramStart"/>
      <w:r>
        <w:rPr>
          <w:rFonts w:ascii="Helvetica Neue" w:hAnsi="Helvetica Neue" w:cs="Arial"/>
          <w:caps/>
          <w:color w:val="222222"/>
          <w:sz w:val="21"/>
          <w:szCs w:val="21"/>
        </w:rPr>
        <w:t>цитометрии :</w:t>
      </w:r>
      <w:proofErr w:type="gramEnd"/>
      <w:r>
        <w:rPr>
          <w:rFonts w:ascii="Helvetica Neue" w:hAnsi="Helvetica Neue" w:cs="Arial"/>
          <w:caps/>
          <w:color w:val="222222"/>
          <w:sz w:val="21"/>
          <w:szCs w:val="21"/>
        </w:rPr>
        <w:t xml:space="preserve"> диссертация ... кандидата физико-математических наук : 01.04.05. - Новосибирск, 2000. - 98 с.</w:t>
      </w:r>
    </w:p>
    <w:p w14:paraId="01435D5A" w14:textId="77777777" w:rsidR="008C0FA0" w:rsidRDefault="008C0FA0" w:rsidP="008C0F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Швалов</w:t>
      </w:r>
      <w:proofErr w:type="spellEnd"/>
      <w:r>
        <w:rPr>
          <w:rFonts w:ascii="Arial" w:hAnsi="Arial" w:cs="Arial"/>
          <w:color w:val="646B71"/>
          <w:sz w:val="18"/>
          <w:szCs w:val="18"/>
        </w:rPr>
        <w:t>, Александр Николаевич</w:t>
      </w:r>
    </w:p>
    <w:p w14:paraId="1060F1FB"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2FEB12"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СКАНИРУЮЩИЙ ПРОТОЧНЫЙ ЦИТОМЕТР.</w:t>
      </w:r>
    </w:p>
    <w:p w14:paraId="335A026B"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Методы определения параметров сканирующего проточного </w:t>
      </w:r>
      <w:proofErr w:type="spellStart"/>
      <w:r>
        <w:rPr>
          <w:rFonts w:ascii="Arial" w:hAnsi="Arial" w:cs="Arial"/>
          <w:color w:val="333333"/>
          <w:sz w:val="21"/>
          <w:szCs w:val="21"/>
        </w:rPr>
        <w:t>цитометра</w:t>
      </w:r>
      <w:proofErr w:type="spellEnd"/>
      <w:r>
        <w:rPr>
          <w:rFonts w:ascii="Arial" w:hAnsi="Arial" w:cs="Arial"/>
          <w:color w:val="333333"/>
          <w:sz w:val="21"/>
          <w:szCs w:val="21"/>
        </w:rPr>
        <w:t xml:space="preserve"> в </w:t>
      </w:r>
      <w:proofErr w:type="spellStart"/>
      <w:r>
        <w:rPr>
          <w:rFonts w:ascii="Arial" w:hAnsi="Arial" w:cs="Arial"/>
          <w:color w:val="333333"/>
          <w:sz w:val="21"/>
          <w:szCs w:val="21"/>
        </w:rPr>
        <w:t>однотриггерной</w:t>
      </w:r>
      <w:proofErr w:type="spellEnd"/>
      <w:r>
        <w:rPr>
          <w:rFonts w:ascii="Arial" w:hAnsi="Arial" w:cs="Arial"/>
          <w:color w:val="333333"/>
          <w:sz w:val="21"/>
          <w:szCs w:val="21"/>
        </w:rPr>
        <w:t xml:space="preserve"> конфигурации.</w:t>
      </w:r>
    </w:p>
    <w:p w14:paraId="1F1BA242"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Программное обеспечение сканирующего проточного </w:t>
      </w:r>
      <w:proofErr w:type="spellStart"/>
      <w:r>
        <w:rPr>
          <w:rFonts w:ascii="Arial" w:hAnsi="Arial" w:cs="Arial"/>
          <w:color w:val="333333"/>
          <w:sz w:val="21"/>
          <w:szCs w:val="21"/>
        </w:rPr>
        <w:t>цитометра</w:t>
      </w:r>
      <w:proofErr w:type="spellEnd"/>
    </w:p>
    <w:p w14:paraId="022C7A39"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1.2.1 Управление системой сбора данных сканирующего проточного </w:t>
      </w:r>
      <w:proofErr w:type="spellStart"/>
      <w:r>
        <w:rPr>
          <w:rFonts w:ascii="Arial" w:hAnsi="Arial" w:cs="Arial"/>
          <w:color w:val="333333"/>
          <w:sz w:val="21"/>
          <w:szCs w:val="21"/>
        </w:rPr>
        <w:t>цитометра</w:t>
      </w:r>
      <w:proofErr w:type="spellEnd"/>
      <w:r>
        <w:rPr>
          <w:rFonts w:ascii="Arial" w:hAnsi="Arial" w:cs="Arial"/>
          <w:color w:val="333333"/>
          <w:sz w:val="21"/>
          <w:szCs w:val="21"/>
        </w:rPr>
        <w:t>.</w:t>
      </w:r>
    </w:p>
    <w:p w14:paraId="7F5991AE"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Обработка результатов измерений сканирующего проточного </w:t>
      </w:r>
      <w:proofErr w:type="spellStart"/>
      <w:r>
        <w:rPr>
          <w:rFonts w:ascii="Arial" w:hAnsi="Arial" w:cs="Arial"/>
          <w:color w:val="333333"/>
          <w:sz w:val="21"/>
          <w:szCs w:val="21"/>
        </w:rPr>
        <w:t>цитометра</w:t>
      </w:r>
      <w:proofErr w:type="spellEnd"/>
      <w:r>
        <w:rPr>
          <w:rFonts w:ascii="Arial" w:hAnsi="Arial" w:cs="Arial"/>
          <w:color w:val="333333"/>
          <w:sz w:val="21"/>
          <w:szCs w:val="21"/>
        </w:rPr>
        <w:t>.</w:t>
      </w:r>
    </w:p>
    <w:p w14:paraId="2A36AA2A"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Ориентация несферических частиц в гидродинамической системе </w:t>
      </w:r>
      <w:proofErr w:type="spellStart"/>
      <w:r>
        <w:rPr>
          <w:rFonts w:ascii="Arial" w:hAnsi="Arial" w:cs="Arial"/>
          <w:color w:val="333333"/>
          <w:sz w:val="21"/>
          <w:szCs w:val="21"/>
        </w:rPr>
        <w:t>цитометра</w:t>
      </w:r>
      <w:proofErr w:type="spellEnd"/>
      <w:r>
        <w:rPr>
          <w:rFonts w:ascii="Arial" w:hAnsi="Arial" w:cs="Arial"/>
          <w:color w:val="333333"/>
          <w:sz w:val="21"/>
          <w:szCs w:val="21"/>
        </w:rPr>
        <w:t>.</w:t>
      </w:r>
    </w:p>
    <w:p w14:paraId="0E2AD1AC"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Параболический профиль скоростей.</w:t>
      </w:r>
    </w:p>
    <w:p w14:paraId="1BBA60BE"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Сужающаяся (расширяющаяся) труба</w:t>
      </w:r>
    </w:p>
    <w:p w14:paraId="581E27C6"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РАСЧЕТЫ ПОЛЯ РАССЕЯНИЯ И РЕШЕНИЕ ОБРАТНОЙ ЗАДАЧИ СВЕТОРАССЕЯНИЯ ДЛЯ НЕСФЕРИЧЕСКИХ ЧАСТИЦ.</w:t>
      </w:r>
    </w:p>
    <w:p w14:paraId="17E8AD1A"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формирования индикатрисы одиночной несферической частицы.</w:t>
      </w:r>
    </w:p>
    <w:p w14:paraId="54456D93"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Использование ВКБ приближения для расчета индикатрис рассеяния одиночными двояковогнутыми дисками в произвольной ориентации.</w:t>
      </w:r>
    </w:p>
    <w:p w14:paraId="068983E9"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Расчет индикатрис светорассеяния для вытянутых сфероидов вращения методом Т-матриц.</w:t>
      </w:r>
    </w:p>
    <w:p w14:paraId="64963D83"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Обратная задача светорассеяния для ориентированных сфероидов вращения.</w:t>
      </w:r>
    </w:p>
    <w:p w14:paraId="72C2A972"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ЭКСПЕРИМЕНТАЛЬНОЕ ИССЛЕДОВАНИЕ СВЕТОРАССЕИВАЮЩИХ СВОЙСТВ НЕСФЕРИЧЕСКИХ ЧАСТИЦ</w:t>
      </w:r>
    </w:p>
    <w:p w14:paraId="30EB78F8"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3.1 Классификация латексных частиц на сканирующем проточном </w:t>
      </w:r>
      <w:proofErr w:type="spellStart"/>
      <w:r>
        <w:rPr>
          <w:rFonts w:ascii="Arial" w:hAnsi="Arial" w:cs="Arial"/>
          <w:color w:val="333333"/>
          <w:sz w:val="21"/>
          <w:szCs w:val="21"/>
        </w:rPr>
        <w:t>цитометре</w:t>
      </w:r>
      <w:proofErr w:type="spellEnd"/>
      <w:r>
        <w:rPr>
          <w:rFonts w:ascii="Arial" w:hAnsi="Arial" w:cs="Arial"/>
          <w:color w:val="333333"/>
          <w:sz w:val="21"/>
          <w:szCs w:val="21"/>
        </w:rPr>
        <w:t>.</w:t>
      </w:r>
    </w:p>
    <w:p w14:paraId="548C93FD"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Рассеяние света эритроцитами человека.</w:t>
      </w:r>
    </w:p>
    <w:p w14:paraId="30163F35" w14:textId="77777777" w:rsidR="008C0FA0" w:rsidRDefault="008C0FA0" w:rsidP="008C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Рассеяние света бактериями </w:t>
      </w:r>
      <w:proofErr w:type="spellStart"/>
      <w:r>
        <w:rPr>
          <w:rFonts w:ascii="Arial" w:hAnsi="Arial" w:cs="Arial"/>
          <w:color w:val="333333"/>
          <w:sz w:val="21"/>
          <w:szCs w:val="21"/>
        </w:rPr>
        <w:t>Е.соН</w:t>
      </w:r>
      <w:proofErr w:type="spellEnd"/>
      <w:r>
        <w:rPr>
          <w:rFonts w:ascii="Arial" w:hAnsi="Arial" w:cs="Arial"/>
          <w:color w:val="333333"/>
          <w:sz w:val="21"/>
          <w:szCs w:val="21"/>
        </w:rPr>
        <w:t xml:space="preserve"> 70 3.3.1 Параметризация обратной задачи светорассеяния для сфероидальных частиц.</w:t>
      </w:r>
    </w:p>
    <w:p w14:paraId="071EBB05" w14:textId="635EE025" w:rsidR="00E67B85" w:rsidRPr="008C0FA0" w:rsidRDefault="00E67B85" w:rsidP="008C0FA0"/>
    <w:sectPr w:rsidR="00E67B85" w:rsidRPr="008C0F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4887" w14:textId="77777777" w:rsidR="00554D6E" w:rsidRDefault="00554D6E">
      <w:pPr>
        <w:spacing w:after="0" w:line="240" w:lineRule="auto"/>
      </w:pPr>
      <w:r>
        <w:separator/>
      </w:r>
    </w:p>
  </w:endnote>
  <w:endnote w:type="continuationSeparator" w:id="0">
    <w:p w14:paraId="503148DA" w14:textId="77777777" w:rsidR="00554D6E" w:rsidRDefault="0055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4C2F" w14:textId="77777777" w:rsidR="00554D6E" w:rsidRDefault="00554D6E"/>
    <w:p w14:paraId="78A89A03" w14:textId="77777777" w:rsidR="00554D6E" w:rsidRDefault="00554D6E"/>
    <w:p w14:paraId="77295781" w14:textId="77777777" w:rsidR="00554D6E" w:rsidRDefault="00554D6E"/>
    <w:p w14:paraId="080ED7CB" w14:textId="77777777" w:rsidR="00554D6E" w:rsidRDefault="00554D6E"/>
    <w:p w14:paraId="3C7937D3" w14:textId="77777777" w:rsidR="00554D6E" w:rsidRDefault="00554D6E"/>
    <w:p w14:paraId="115F7285" w14:textId="77777777" w:rsidR="00554D6E" w:rsidRDefault="00554D6E"/>
    <w:p w14:paraId="15B91C21" w14:textId="77777777" w:rsidR="00554D6E" w:rsidRDefault="00554D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7380ED" wp14:editId="3D25F6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7D69" w14:textId="77777777" w:rsidR="00554D6E" w:rsidRDefault="00554D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380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B27D69" w14:textId="77777777" w:rsidR="00554D6E" w:rsidRDefault="00554D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78E039" w14:textId="77777777" w:rsidR="00554D6E" w:rsidRDefault="00554D6E"/>
    <w:p w14:paraId="2D3EDA6D" w14:textId="77777777" w:rsidR="00554D6E" w:rsidRDefault="00554D6E"/>
    <w:p w14:paraId="5F4E5AD7" w14:textId="77777777" w:rsidR="00554D6E" w:rsidRDefault="00554D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7D46CA" wp14:editId="0511BB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FC62" w14:textId="77777777" w:rsidR="00554D6E" w:rsidRDefault="00554D6E"/>
                          <w:p w14:paraId="7AB013B7" w14:textId="77777777" w:rsidR="00554D6E" w:rsidRDefault="00554D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7D46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05FC62" w14:textId="77777777" w:rsidR="00554D6E" w:rsidRDefault="00554D6E"/>
                    <w:p w14:paraId="7AB013B7" w14:textId="77777777" w:rsidR="00554D6E" w:rsidRDefault="00554D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FFE2BD" w14:textId="77777777" w:rsidR="00554D6E" w:rsidRDefault="00554D6E"/>
    <w:p w14:paraId="02AA5770" w14:textId="77777777" w:rsidR="00554D6E" w:rsidRDefault="00554D6E">
      <w:pPr>
        <w:rPr>
          <w:sz w:val="2"/>
          <w:szCs w:val="2"/>
        </w:rPr>
      </w:pPr>
    </w:p>
    <w:p w14:paraId="5BE910F1" w14:textId="77777777" w:rsidR="00554D6E" w:rsidRDefault="00554D6E"/>
    <w:p w14:paraId="173BE2AB" w14:textId="77777777" w:rsidR="00554D6E" w:rsidRDefault="00554D6E">
      <w:pPr>
        <w:spacing w:after="0" w:line="240" w:lineRule="auto"/>
      </w:pPr>
    </w:p>
  </w:footnote>
  <w:footnote w:type="continuationSeparator" w:id="0">
    <w:p w14:paraId="1DC7F541" w14:textId="77777777" w:rsidR="00554D6E" w:rsidRDefault="00554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6E"/>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121033</TotalTime>
  <Pages>2</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2804</cp:revision>
  <cp:lastPrinted>2009-02-06T05:36:00Z</cp:lastPrinted>
  <dcterms:created xsi:type="dcterms:W3CDTF">2024-01-07T13:43:00Z</dcterms:created>
  <dcterms:modified xsi:type="dcterms:W3CDTF">2025-06-24T13:15:00Z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