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01DD0" w:rsidRPr="00BA197A" w:rsidRDefault="00E01DD0" w:rsidP="00E01DD0">
      <w:pPr>
        <w:jc w:val="center"/>
        <w:rPr>
          <w:spacing w:val="18"/>
          <w:sz w:val="28"/>
          <w:szCs w:val="28"/>
          <w:lang w:val="uk-UA"/>
        </w:rPr>
      </w:pPr>
    </w:p>
    <w:p w:rsidR="006A59A5" w:rsidRPr="00D004B1" w:rsidRDefault="006A59A5" w:rsidP="006A59A5">
      <w:pPr>
        <w:rPr>
          <w:sz w:val="28"/>
          <w:lang w:val="uk-UA"/>
        </w:rPr>
      </w:pPr>
    </w:p>
    <w:p w:rsidR="0019442B" w:rsidRPr="00E5479E" w:rsidRDefault="0019442B" w:rsidP="0019442B">
      <w:pPr>
        <w:pStyle w:val="1"/>
        <w:keepNext w:val="0"/>
        <w:widowControl w:val="0"/>
        <w:jc w:val="center"/>
        <w:rPr>
          <w:b w:val="0"/>
          <w:caps/>
          <w:szCs w:val="28"/>
        </w:rPr>
      </w:pPr>
      <w:r w:rsidRPr="00E5479E">
        <w:rPr>
          <w:b w:val="0"/>
          <w:caps/>
          <w:szCs w:val="28"/>
        </w:rPr>
        <w:t>М</w:t>
      </w:r>
      <w:r w:rsidRPr="00E5479E">
        <w:rPr>
          <w:b w:val="0"/>
          <w:szCs w:val="28"/>
        </w:rPr>
        <w:t>инистерство здравоохранения Украины</w:t>
      </w:r>
    </w:p>
    <w:p w:rsidR="0019442B" w:rsidRPr="00E5479E" w:rsidRDefault="0019442B" w:rsidP="0019442B">
      <w:pPr>
        <w:pStyle w:val="1"/>
        <w:keepNext w:val="0"/>
        <w:widowControl w:val="0"/>
        <w:jc w:val="center"/>
        <w:rPr>
          <w:b w:val="0"/>
          <w:szCs w:val="28"/>
        </w:rPr>
      </w:pPr>
      <w:r w:rsidRPr="00E5479E">
        <w:rPr>
          <w:b w:val="0"/>
          <w:szCs w:val="28"/>
        </w:rPr>
        <w:t>Луганский государственный медицинский университет</w:t>
      </w:r>
    </w:p>
    <w:p w:rsidR="0019442B" w:rsidRPr="00E5479E" w:rsidRDefault="0019442B" w:rsidP="0019442B">
      <w:pPr>
        <w:pStyle w:val="1"/>
        <w:keepNext w:val="0"/>
        <w:widowControl w:val="0"/>
        <w:jc w:val="center"/>
        <w:rPr>
          <w:b w:val="0"/>
          <w:szCs w:val="28"/>
        </w:rPr>
      </w:pPr>
    </w:p>
    <w:p w:rsidR="0019442B" w:rsidRPr="00E5479E" w:rsidRDefault="0019442B" w:rsidP="0019442B">
      <w:pPr>
        <w:pStyle w:val="1"/>
        <w:keepNext w:val="0"/>
        <w:widowControl w:val="0"/>
        <w:rPr>
          <w:b w:val="0"/>
          <w:szCs w:val="28"/>
        </w:rPr>
      </w:pPr>
      <w:r w:rsidRPr="00E5479E">
        <w:rPr>
          <w:b w:val="0"/>
          <w:szCs w:val="28"/>
        </w:rPr>
        <w:t>На правах рукописи</w:t>
      </w:r>
    </w:p>
    <w:p w:rsidR="0019442B" w:rsidRPr="00E5479E" w:rsidRDefault="0019442B" w:rsidP="0019442B">
      <w:pPr>
        <w:pStyle w:val="1"/>
        <w:keepNext w:val="0"/>
        <w:widowControl w:val="0"/>
        <w:jc w:val="center"/>
        <w:rPr>
          <w:b w:val="0"/>
          <w:szCs w:val="28"/>
        </w:rPr>
      </w:pPr>
    </w:p>
    <w:p w:rsidR="0019442B" w:rsidRPr="00E5479E" w:rsidRDefault="0019442B" w:rsidP="0019442B">
      <w:pPr>
        <w:pStyle w:val="1"/>
        <w:keepNext w:val="0"/>
        <w:widowControl w:val="0"/>
        <w:jc w:val="center"/>
        <w:rPr>
          <w:b w:val="0"/>
          <w:szCs w:val="28"/>
        </w:rPr>
      </w:pPr>
      <w:r w:rsidRPr="00E5479E">
        <w:rPr>
          <w:b w:val="0"/>
          <w:szCs w:val="28"/>
        </w:rPr>
        <w:t>Чалая Татьяна Анатольевна</w:t>
      </w:r>
    </w:p>
    <w:p w:rsidR="0019442B" w:rsidRPr="00E5479E" w:rsidRDefault="0019442B" w:rsidP="0019442B">
      <w:pPr>
        <w:widowControl w:val="0"/>
        <w:spacing w:line="360" w:lineRule="auto"/>
        <w:jc w:val="center"/>
        <w:rPr>
          <w:sz w:val="28"/>
          <w:szCs w:val="28"/>
        </w:rPr>
      </w:pPr>
    </w:p>
    <w:p w:rsidR="0019442B" w:rsidRPr="00E5479E" w:rsidRDefault="0019442B" w:rsidP="0019442B">
      <w:pPr>
        <w:pStyle w:val="21"/>
        <w:keepNext w:val="0"/>
        <w:widowControl w:val="0"/>
        <w:jc w:val="right"/>
      </w:pPr>
      <w:r w:rsidRPr="00E5479E">
        <w:t>УДК 616.314.17-008.1-007.233-053.2-08</w:t>
      </w:r>
    </w:p>
    <w:p w:rsidR="0019442B" w:rsidRPr="00E5479E" w:rsidRDefault="0019442B" w:rsidP="0019442B">
      <w:pPr>
        <w:widowControl w:val="0"/>
        <w:spacing w:line="360" w:lineRule="auto"/>
        <w:jc w:val="center"/>
        <w:rPr>
          <w:sz w:val="28"/>
          <w:szCs w:val="28"/>
        </w:rPr>
      </w:pPr>
    </w:p>
    <w:p w:rsidR="0019442B" w:rsidRPr="00E5479E" w:rsidRDefault="0019442B" w:rsidP="0019442B">
      <w:pPr>
        <w:widowControl w:val="0"/>
        <w:spacing w:line="360" w:lineRule="auto"/>
        <w:jc w:val="center"/>
        <w:rPr>
          <w:sz w:val="28"/>
          <w:szCs w:val="28"/>
        </w:rPr>
      </w:pPr>
      <w:bookmarkStart w:id="0" w:name="_GoBack"/>
      <w:r w:rsidRPr="00E5479E">
        <w:rPr>
          <w:sz w:val="28"/>
        </w:rPr>
        <w:t>Патогенетическое обоснование нового</w:t>
      </w:r>
      <w:r w:rsidRPr="00E5479E">
        <w:rPr>
          <w:sz w:val="28"/>
          <w:szCs w:val="28"/>
        </w:rPr>
        <w:t xml:space="preserve"> подхода к лечению и профилактике обострений хронического периодонтита</w:t>
      </w:r>
    </w:p>
    <w:bookmarkEnd w:id="0"/>
    <w:p w:rsidR="0019442B" w:rsidRPr="00E5479E" w:rsidRDefault="0019442B" w:rsidP="0019442B">
      <w:pPr>
        <w:widowControl w:val="0"/>
        <w:spacing w:line="360" w:lineRule="auto"/>
        <w:jc w:val="center"/>
        <w:rPr>
          <w:sz w:val="28"/>
          <w:szCs w:val="28"/>
        </w:rPr>
      </w:pPr>
    </w:p>
    <w:p w:rsidR="0019442B" w:rsidRPr="00E5479E" w:rsidRDefault="0019442B" w:rsidP="0019442B">
      <w:pPr>
        <w:widowControl w:val="0"/>
        <w:spacing w:line="360" w:lineRule="auto"/>
        <w:jc w:val="center"/>
        <w:rPr>
          <w:sz w:val="28"/>
          <w:szCs w:val="28"/>
        </w:rPr>
      </w:pPr>
      <w:r w:rsidRPr="00E5479E">
        <w:rPr>
          <w:sz w:val="28"/>
          <w:szCs w:val="28"/>
        </w:rPr>
        <w:t>14.03.04 – патологическая физиология</w:t>
      </w:r>
    </w:p>
    <w:p w:rsidR="0019442B" w:rsidRPr="00E5479E" w:rsidRDefault="0019442B" w:rsidP="0019442B">
      <w:pPr>
        <w:widowControl w:val="0"/>
        <w:spacing w:line="360" w:lineRule="auto"/>
        <w:jc w:val="center"/>
        <w:rPr>
          <w:sz w:val="28"/>
          <w:szCs w:val="28"/>
        </w:rPr>
      </w:pPr>
    </w:p>
    <w:p w:rsidR="0019442B" w:rsidRPr="00E5479E" w:rsidRDefault="0019442B" w:rsidP="0019442B">
      <w:pPr>
        <w:widowControl w:val="0"/>
        <w:spacing w:line="360" w:lineRule="auto"/>
        <w:jc w:val="center"/>
        <w:rPr>
          <w:sz w:val="28"/>
          <w:szCs w:val="28"/>
        </w:rPr>
      </w:pPr>
      <w:r w:rsidRPr="00E5479E">
        <w:rPr>
          <w:sz w:val="28"/>
          <w:szCs w:val="28"/>
        </w:rPr>
        <w:t xml:space="preserve">Диссертация на соискание ученой степени кандидата </w:t>
      </w:r>
    </w:p>
    <w:p w:rsidR="0019442B" w:rsidRPr="00E5479E" w:rsidRDefault="0019442B" w:rsidP="0019442B">
      <w:pPr>
        <w:widowControl w:val="0"/>
        <w:spacing w:line="360" w:lineRule="auto"/>
        <w:jc w:val="center"/>
        <w:rPr>
          <w:sz w:val="28"/>
          <w:szCs w:val="28"/>
        </w:rPr>
      </w:pPr>
      <w:r w:rsidRPr="00E5479E">
        <w:rPr>
          <w:sz w:val="28"/>
          <w:szCs w:val="28"/>
        </w:rPr>
        <w:t>медицинских наук</w:t>
      </w:r>
    </w:p>
    <w:p w:rsidR="0019442B" w:rsidRPr="00E5479E" w:rsidRDefault="0019442B" w:rsidP="0019442B">
      <w:pPr>
        <w:widowControl w:val="0"/>
        <w:spacing w:line="360" w:lineRule="auto"/>
        <w:jc w:val="center"/>
        <w:rPr>
          <w:sz w:val="28"/>
          <w:szCs w:val="28"/>
        </w:rPr>
      </w:pPr>
    </w:p>
    <w:tbl>
      <w:tblPr>
        <w:tblW w:w="0" w:type="auto"/>
        <w:tblInd w:w="1526" w:type="dxa"/>
        <w:tblLayout w:type="fixed"/>
        <w:tblLook w:val="0000" w:firstRow="0" w:lastRow="0" w:firstColumn="0" w:lastColumn="0" w:noHBand="0" w:noVBand="0"/>
      </w:tblPr>
      <w:tblGrid>
        <w:gridCol w:w="3402"/>
        <w:gridCol w:w="4252"/>
      </w:tblGrid>
      <w:tr w:rsidR="0019442B" w:rsidRPr="00E5479E" w:rsidTr="00BC27C3">
        <w:tblPrEx>
          <w:tblCellMar>
            <w:top w:w="0" w:type="dxa"/>
            <w:bottom w:w="0" w:type="dxa"/>
          </w:tblCellMar>
        </w:tblPrEx>
        <w:tc>
          <w:tcPr>
            <w:tcW w:w="3402" w:type="dxa"/>
          </w:tcPr>
          <w:p w:rsidR="0019442B" w:rsidRPr="00E5479E" w:rsidRDefault="0019442B" w:rsidP="00BC27C3">
            <w:pPr>
              <w:spacing w:line="360" w:lineRule="auto"/>
              <w:rPr>
                <w:b/>
                <w:color w:val="000000"/>
                <w:sz w:val="28"/>
              </w:rPr>
            </w:pPr>
            <w:r w:rsidRPr="00E5479E">
              <w:rPr>
                <w:b/>
                <w:color w:val="000000"/>
                <w:sz w:val="28"/>
              </w:rPr>
              <w:t>Научный руковод</w:t>
            </w:r>
            <w:r w:rsidRPr="00E5479E">
              <w:rPr>
                <w:b/>
                <w:color w:val="000000"/>
                <w:sz w:val="28"/>
              </w:rPr>
              <w:t>и</w:t>
            </w:r>
            <w:r w:rsidRPr="00E5479E">
              <w:rPr>
                <w:b/>
                <w:color w:val="000000"/>
                <w:sz w:val="28"/>
              </w:rPr>
              <w:t>тель:</w:t>
            </w:r>
          </w:p>
        </w:tc>
        <w:tc>
          <w:tcPr>
            <w:tcW w:w="4252" w:type="dxa"/>
          </w:tcPr>
          <w:p w:rsidR="0019442B" w:rsidRPr="00E5479E" w:rsidRDefault="0019442B" w:rsidP="00BC27C3">
            <w:pPr>
              <w:spacing w:line="360" w:lineRule="auto"/>
              <w:jc w:val="both"/>
              <w:rPr>
                <w:b/>
                <w:color w:val="000000"/>
                <w:sz w:val="28"/>
              </w:rPr>
            </w:pPr>
            <w:r w:rsidRPr="00E5479E">
              <w:rPr>
                <w:b/>
                <w:color w:val="000000"/>
                <w:sz w:val="28"/>
              </w:rPr>
              <w:t xml:space="preserve">Казимирко Нила Казимировна, </w:t>
            </w:r>
            <w:r w:rsidRPr="00E5479E">
              <w:rPr>
                <w:b/>
                <w:sz w:val="28"/>
                <w:szCs w:val="28"/>
              </w:rPr>
              <w:t>доктор медицинских наук, пр</w:t>
            </w:r>
            <w:r w:rsidRPr="00E5479E">
              <w:rPr>
                <w:b/>
                <w:sz w:val="28"/>
                <w:szCs w:val="28"/>
              </w:rPr>
              <w:t>о</w:t>
            </w:r>
            <w:r w:rsidRPr="00E5479E">
              <w:rPr>
                <w:b/>
                <w:sz w:val="28"/>
                <w:szCs w:val="28"/>
              </w:rPr>
              <w:t>фессор</w:t>
            </w:r>
          </w:p>
        </w:tc>
      </w:tr>
    </w:tbl>
    <w:p w:rsidR="0019442B" w:rsidRPr="00E5479E" w:rsidRDefault="0019442B" w:rsidP="0019442B">
      <w:pPr>
        <w:widowControl w:val="0"/>
        <w:spacing w:line="360" w:lineRule="auto"/>
        <w:jc w:val="center"/>
        <w:rPr>
          <w:sz w:val="28"/>
          <w:szCs w:val="28"/>
        </w:rPr>
      </w:pPr>
    </w:p>
    <w:p w:rsidR="0019442B" w:rsidRPr="00E5479E" w:rsidRDefault="0019442B" w:rsidP="0019442B">
      <w:pPr>
        <w:widowControl w:val="0"/>
        <w:spacing w:line="360" w:lineRule="auto"/>
        <w:jc w:val="center"/>
        <w:rPr>
          <w:sz w:val="28"/>
          <w:szCs w:val="28"/>
        </w:rPr>
      </w:pPr>
    </w:p>
    <w:p w:rsidR="0019442B" w:rsidRPr="00E5479E" w:rsidRDefault="0019442B" w:rsidP="0019442B">
      <w:pPr>
        <w:pStyle w:val="40"/>
        <w:keepNext w:val="0"/>
        <w:widowControl w:val="0"/>
        <w:rPr>
          <w:b/>
          <w:szCs w:val="28"/>
        </w:rPr>
      </w:pPr>
    </w:p>
    <w:p w:rsidR="0019442B" w:rsidRPr="00E5479E" w:rsidRDefault="0019442B" w:rsidP="0019442B">
      <w:pPr>
        <w:pStyle w:val="40"/>
        <w:keepNext w:val="0"/>
        <w:widowControl w:val="0"/>
        <w:rPr>
          <w:b/>
          <w:szCs w:val="28"/>
        </w:rPr>
      </w:pPr>
      <w:r>
        <w:rPr>
          <w:b/>
          <w:noProof/>
          <w:szCs w:val="28"/>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111125</wp:posOffset>
                </wp:positionH>
                <wp:positionV relativeFrom="paragraph">
                  <wp:posOffset>151765</wp:posOffset>
                </wp:positionV>
                <wp:extent cx="4232275" cy="567055"/>
                <wp:effectExtent l="635" t="0" r="0" b="444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42B" w:rsidRPr="0067103C" w:rsidRDefault="0019442B" w:rsidP="0019442B">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19442B" w:rsidRPr="0067103C" w:rsidRDefault="0019442B" w:rsidP="0019442B">
                            <w:pPr>
                              <w:pStyle w:val="50"/>
                              <w:rPr>
                                <w:b w:val="0"/>
                                <w:sz w:val="18"/>
                                <w:szCs w:val="18"/>
                              </w:rPr>
                            </w:pPr>
                            <w:r w:rsidRPr="0067103C">
                              <w:rPr>
                                <w:b w:val="0"/>
                                <w:sz w:val="18"/>
                                <w:szCs w:val="18"/>
                              </w:rPr>
                              <w:t>Вчений секретар</w:t>
                            </w:r>
                          </w:p>
                          <w:p w:rsidR="0019442B" w:rsidRPr="0067103C" w:rsidRDefault="0019442B" w:rsidP="0019442B">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19442B">
                              <w:rPr>
                                <w:rFonts w:ascii="Book Antiqua" w:hAnsi="Book Antiqua"/>
                                <w:i/>
                                <w:sz w:val="18"/>
                                <w:szCs w:val="18"/>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8.75pt;margin-top:11.95pt;width:333.2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" o:allowincell="f" stroked="f">
                <v:textbox>
                  <w:txbxContent>
                    <w:p w:rsidR="0019442B" w:rsidRPr="0067103C" w:rsidRDefault="0019442B" w:rsidP="0019442B">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19442B" w:rsidRPr="0067103C" w:rsidRDefault="0019442B" w:rsidP="0019442B">
                      <w:pPr>
                        <w:pStyle w:val="50"/>
                        <w:rPr>
                          <w:b w:val="0"/>
                          <w:sz w:val="18"/>
                          <w:szCs w:val="18"/>
                        </w:rPr>
                      </w:pPr>
                      <w:r w:rsidRPr="0067103C">
                        <w:rPr>
                          <w:b w:val="0"/>
                          <w:sz w:val="18"/>
                          <w:szCs w:val="18"/>
                        </w:rPr>
                        <w:t>Вчений секретар</w:t>
                      </w:r>
                    </w:p>
                    <w:p w:rsidR="0019442B" w:rsidRPr="0067103C" w:rsidRDefault="0019442B" w:rsidP="0019442B">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19442B">
                        <w:rPr>
                          <w:rFonts w:ascii="Book Antiqua" w:hAnsi="Book Antiqua"/>
                          <w:i/>
                          <w:sz w:val="18"/>
                          <w:szCs w:val="18"/>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v:textbox>
              </v:shape>
            </w:pict>
          </mc:Fallback>
        </mc:AlternateContent>
      </w:r>
    </w:p>
    <w:p w:rsidR="0019442B" w:rsidRPr="00E5479E" w:rsidRDefault="0019442B" w:rsidP="0019442B">
      <w:pPr>
        <w:pStyle w:val="40"/>
        <w:keepNext w:val="0"/>
        <w:widowControl w:val="0"/>
        <w:rPr>
          <w:b/>
          <w:szCs w:val="28"/>
        </w:rPr>
      </w:pPr>
    </w:p>
    <w:p w:rsidR="0019442B" w:rsidRPr="00E5479E" w:rsidRDefault="0019442B" w:rsidP="0019442B">
      <w:pPr>
        <w:pStyle w:val="40"/>
        <w:keepNext w:val="0"/>
        <w:widowControl w:val="0"/>
        <w:rPr>
          <w:b/>
          <w:szCs w:val="28"/>
        </w:rPr>
      </w:pPr>
    </w:p>
    <w:p w:rsidR="0019442B" w:rsidRPr="00E5479E" w:rsidRDefault="0019442B" w:rsidP="0019442B">
      <w:pPr>
        <w:pStyle w:val="40"/>
        <w:keepNext w:val="0"/>
        <w:widowControl w:val="0"/>
        <w:rPr>
          <w:b/>
          <w:lang w:val="en-US"/>
        </w:rPr>
      </w:pPr>
      <w:r w:rsidRPr="00E5479E">
        <w:rPr>
          <w:b/>
        </w:rPr>
        <w:t>Луганск-2008</w:t>
      </w:r>
    </w:p>
    <w:p w:rsidR="0019442B" w:rsidRPr="00E5479E" w:rsidRDefault="0019442B" w:rsidP="0019442B">
      <w:pPr>
        <w:rPr>
          <w:lang w:val="en-US"/>
        </w:rPr>
      </w:pPr>
    </w:p>
    <w:p w:rsidR="0019442B" w:rsidRPr="00E5479E" w:rsidRDefault="0019442B" w:rsidP="0019442B">
      <w:pPr>
        <w:rPr>
          <w:lang w:val="en-US"/>
        </w:rPr>
      </w:pPr>
    </w:p>
    <w:p w:rsidR="0019442B" w:rsidRPr="00E5479E" w:rsidRDefault="0019442B" w:rsidP="0019442B">
      <w:pPr>
        <w:rPr>
          <w:lang w:val="en-US"/>
        </w:rPr>
      </w:pPr>
    </w:p>
    <w:p w:rsidR="0019442B" w:rsidRPr="00E5479E" w:rsidRDefault="0019442B" w:rsidP="0019442B">
      <w:pPr>
        <w:pStyle w:val="affffffff9"/>
        <w:rPr>
          <w:b/>
        </w:rPr>
      </w:pPr>
      <w:r w:rsidRPr="00E5479E">
        <w:rPr>
          <w:b/>
        </w:rPr>
        <w:t>СОДЕРЖАНИЕ</w:t>
      </w:r>
    </w:p>
    <w:p w:rsidR="0019442B" w:rsidRPr="00E5479E" w:rsidRDefault="0019442B" w:rsidP="0019442B">
      <w:pPr>
        <w:pStyle w:val="affffffff9"/>
        <w:rPr>
          <w:b/>
        </w:rPr>
      </w:pPr>
    </w:p>
    <w:p w:rsidR="0019442B" w:rsidRPr="00E5479E" w:rsidRDefault="0019442B" w:rsidP="0019442B">
      <w:pPr>
        <w:pStyle w:val="affffffff9"/>
        <w:rPr>
          <w:b/>
        </w:rPr>
      </w:pPr>
    </w:p>
    <w:p w:rsidR="0019442B" w:rsidRPr="00E5479E" w:rsidRDefault="0019442B" w:rsidP="0019442B">
      <w:pPr>
        <w:pStyle w:val="affffffff9"/>
        <w:rPr>
          <w:b/>
        </w:rPr>
      </w:pPr>
    </w:p>
    <w:p w:rsidR="0019442B" w:rsidRPr="00E5479E" w:rsidRDefault="0019442B" w:rsidP="0019442B">
      <w:pPr>
        <w:pStyle w:val="affffffffa"/>
        <w:jc w:val="both"/>
      </w:pPr>
      <w:r w:rsidRPr="00E5479E">
        <w:t>ПЕРЕЧЕНЬ УСЛОВНЫХ ОБОЗНАЧЕНИЙ, СИМВОЛОВ, ЕДИНИЦ, СОКРАЩЕНИЙ И ТЕРМ</w:t>
      </w:r>
      <w:r w:rsidRPr="00E5479E">
        <w:t>И</w:t>
      </w:r>
      <w:r w:rsidRPr="00E5479E">
        <w:t>НОВ...….……………………………....……………….4</w:t>
      </w:r>
    </w:p>
    <w:p w:rsidR="0019442B" w:rsidRPr="00E5479E" w:rsidRDefault="0019442B" w:rsidP="0019442B">
      <w:pPr>
        <w:spacing w:line="360" w:lineRule="auto"/>
        <w:rPr>
          <w:sz w:val="28"/>
        </w:rPr>
      </w:pPr>
      <w:r w:rsidRPr="00E5479E">
        <w:rPr>
          <w:sz w:val="28"/>
        </w:rPr>
        <w:t>ВВЕД</w:t>
      </w:r>
      <w:r w:rsidRPr="00E5479E">
        <w:rPr>
          <w:sz w:val="28"/>
        </w:rPr>
        <w:t>Е</w:t>
      </w:r>
      <w:r w:rsidRPr="00E5479E">
        <w:rPr>
          <w:sz w:val="28"/>
        </w:rPr>
        <w:t>НИЕ…......……….…………………………..........…………....………….6</w:t>
      </w:r>
    </w:p>
    <w:p w:rsidR="0019442B" w:rsidRPr="00E5479E" w:rsidRDefault="0019442B" w:rsidP="0019442B">
      <w:pPr>
        <w:pStyle w:val="35"/>
      </w:pPr>
      <w:r w:rsidRPr="00E5479E">
        <w:t xml:space="preserve">ГЛАВА 1. </w:t>
      </w:r>
      <w:r w:rsidRPr="00E5479E">
        <w:rPr>
          <w:szCs w:val="28"/>
        </w:rPr>
        <w:t>СОВРЕМЕННЫЕ ВЗГЛЯДЫ НА ПРИНЦИПЫ, МЕТОДЫ И СРЕДСТВА ЛЕЧЕНИЯ ХРОНИЧЕСКОГО ПЕРИОДОНТИТА</w:t>
      </w:r>
      <w:r w:rsidRPr="00E5479E">
        <w:rPr>
          <w:color w:val="000000"/>
          <w:szCs w:val="28"/>
        </w:rPr>
        <w:t xml:space="preserve"> </w:t>
      </w:r>
      <w:r w:rsidRPr="00E5479E">
        <w:t>(ОБЗОР ЛИТЕРАТ</w:t>
      </w:r>
      <w:r w:rsidRPr="00E5479E">
        <w:t>У</w:t>
      </w:r>
      <w:r w:rsidRPr="00E5479E">
        <w:t>РЫ)…..………..………………………………………………………...11</w:t>
      </w:r>
    </w:p>
    <w:p w:rsidR="0019442B" w:rsidRPr="00E5479E" w:rsidRDefault="0019442B" w:rsidP="0019442B">
      <w:pPr>
        <w:pStyle w:val="afffffffffffffffffffff4"/>
        <w:rPr>
          <w:b/>
        </w:rPr>
      </w:pPr>
      <w:r w:rsidRPr="00E5479E">
        <w:rPr>
          <w:b/>
        </w:rPr>
        <w:t>ГЛАВА 2. МАТЕРИАЛЫ И МЕТОДЫ ИССЛЕДОВ</w:t>
      </w:r>
      <w:r w:rsidRPr="00E5479E">
        <w:rPr>
          <w:b/>
        </w:rPr>
        <w:t>А</w:t>
      </w:r>
      <w:r w:rsidRPr="00E5479E">
        <w:rPr>
          <w:b/>
        </w:rPr>
        <w:t>НИЯ….….…..……….32</w:t>
      </w:r>
    </w:p>
    <w:tbl>
      <w:tblPr>
        <w:tblW w:w="9481" w:type="dxa"/>
        <w:tblInd w:w="108" w:type="dxa"/>
        <w:tblLayout w:type="fixed"/>
        <w:tblLook w:val="0000" w:firstRow="0" w:lastRow="0" w:firstColumn="0" w:lastColumn="0" w:noHBand="0" w:noVBand="0"/>
      </w:tblPr>
      <w:tblGrid>
        <w:gridCol w:w="709"/>
        <w:gridCol w:w="8063"/>
        <w:gridCol w:w="709"/>
      </w:tblGrid>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rPr>
            </w:pPr>
            <w:r w:rsidRPr="00E5479E">
              <w:rPr>
                <w:sz w:val="28"/>
              </w:rPr>
              <w:t>2.1.</w:t>
            </w:r>
          </w:p>
        </w:tc>
        <w:tc>
          <w:tcPr>
            <w:tcW w:w="8063" w:type="dxa"/>
          </w:tcPr>
          <w:p w:rsidR="0019442B" w:rsidRPr="00E5479E" w:rsidRDefault="0019442B" w:rsidP="00BC27C3">
            <w:pPr>
              <w:spacing w:line="360" w:lineRule="auto"/>
              <w:jc w:val="both"/>
              <w:rPr>
                <w:sz w:val="28"/>
              </w:rPr>
            </w:pPr>
            <w:r w:rsidRPr="00E5479E">
              <w:rPr>
                <w:sz w:val="28"/>
              </w:rPr>
              <w:t>Объект исследов</w:t>
            </w:r>
            <w:r w:rsidRPr="00E5479E">
              <w:rPr>
                <w:sz w:val="28"/>
              </w:rPr>
              <w:t>а</w:t>
            </w:r>
            <w:r w:rsidRPr="00E5479E">
              <w:rPr>
                <w:sz w:val="28"/>
              </w:rPr>
              <w:t>ния………………………………….……………..</w:t>
            </w:r>
          </w:p>
        </w:tc>
        <w:tc>
          <w:tcPr>
            <w:tcW w:w="709" w:type="dxa"/>
          </w:tcPr>
          <w:p w:rsidR="0019442B" w:rsidRPr="00E5479E" w:rsidRDefault="0019442B" w:rsidP="00BC27C3">
            <w:pPr>
              <w:spacing w:line="360" w:lineRule="auto"/>
              <w:jc w:val="both"/>
              <w:rPr>
                <w:sz w:val="28"/>
              </w:rPr>
            </w:pPr>
            <w:r w:rsidRPr="00E5479E">
              <w:rPr>
                <w:sz w:val="28"/>
              </w:rPr>
              <w:t>32</w:t>
            </w:r>
          </w:p>
        </w:tc>
      </w:tr>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rPr>
            </w:pPr>
            <w:r w:rsidRPr="00E5479E">
              <w:rPr>
                <w:sz w:val="28"/>
              </w:rPr>
              <w:t>2.2.</w:t>
            </w:r>
          </w:p>
        </w:tc>
        <w:tc>
          <w:tcPr>
            <w:tcW w:w="8063" w:type="dxa"/>
          </w:tcPr>
          <w:p w:rsidR="0019442B" w:rsidRPr="00E5479E" w:rsidRDefault="0019442B" w:rsidP="00BC27C3">
            <w:pPr>
              <w:spacing w:line="360" w:lineRule="auto"/>
              <w:jc w:val="both"/>
              <w:rPr>
                <w:sz w:val="28"/>
              </w:rPr>
            </w:pPr>
            <w:r w:rsidRPr="00E5479E">
              <w:rPr>
                <w:sz w:val="28"/>
              </w:rPr>
              <w:t xml:space="preserve">Методы </w:t>
            </w:r>
            <w:r w:rsidRPr="00E5479E">
              <w:rPr>
                <w:color w:val="000000"/>
                <w:sz w:val="28"/>
              </w:rPr>
              <w:t>исследов</w:t>
            </w:r>
            <w:r w:rsidRPr="00E5479E">
              <w:rPr>
                <w:color w:val="000000"/>
                <w:sz w:val="28"/>
              </w:rPr>
              <w:t>а</w:t>
            </w:r>
            <w:r w:rsidRPr="00E5479E">
              <w:rPr>
                <w:color w:val="000000"/>
                <w:sz w:val="28"/>
              </w:rPr>
              <w:t>ния………………………………………………..</w:t>
            </w:r>
          </w:p>
        </w:tc>
        <w:tc>
          <w:tcPr>
            <w:tcW w:w="709" w:type="dxa"/>
          </w:tcPr>
          <w:p w:rsidR="0019442B" w:rsidRPr="00E5479E" w:rsidRDefault="0019442B" w:rsidP="00BC27C3">
            <w:pPr>
              <w:spacing w:line="360" w:lineRule="auto"/>
              <w:jc w:val="both"/>
              <w:rPr>
                <w:sz w:val="28"/>
              </w:rPr>
            </w:pPr>
            <w:r w:rsidRPr="00E5479E">
              <w:rPr>
                <w:sz w:val="28"/>
              </w:rPr>
              <w:t>32</w:t>
            </w:r>
          </w:p>
        </w:tc>
      </w:tr>
    </w:tbl>
    <w:p w:rsidR="0019442B" w:rsidRPr="00E5479E" w:rsidRDefault="0019442B" w:rsidP="0019442B">
      <w:pPr>
        <w:pStyle w:val="2ffffa"/>
        <w:rPr>
          <w:b/>
        </w:rPr>
      </w:pPr>
      <w:r w:rsidRPr="00E5479E">
        <w:rPr>
          <w:b/>
        </w:rPr>
        <w:t xml:space="preserve">ГЛАВА 3. </w:t>
      </w:r>
      <w:r w:rsidRPr="00E5479E">
        <w:rPr>
          <w:b/>
          <w:szCs w:val="28"/>
        </w:rPr>
        <w:t>МИКРОБИОЛОГИЧЕСКИЙ, ИММУННЫЙ СТАТУС, СОСТО</w:t>
      </w:r>
      <w:r w:rsidRPr="00E5479E">
        <w:rPr>
          <w:b/>
          <w:szCs w:val="28"/>
        </w:rPr>
        <w:t>Я</w:t>
      </w:r>
      <w:r w:rsidRPr="00E5479E">
        <w:rPr>
          <w:b/>
          <w:szCs w:val="28"/>
        </w:rPr>
        <w:t>НИЕ СИСТЕМЫ ПЕРЕКИСНОГО ОКИСЛЕНИЯ ЛИПИДОВ И ФЕРМЕ</w:t>
      </w:r>
      <w:r w:rsidRPr="00E5479E">
        <w:rPr>
          <w:b/>
          <w:szCs w:val="28"/>
        </w:rPr>
        <w:t>Н</w:t>
      </w:r>
      <w:r w:rsidRPr="00E5479E">
        <w:rPr>
          <w:b/>
          <w:szCs w:val="28"/>
        </w:rPr>
        <w:t>ТАТИВНОЙ СИСТЕМЫ АНТИОКСИДАНТНОЙ ЗАЩИТЫ БОЛЬНЫХ ХРОНИЧЕСКИМ ПЕРИОДОНТ</w:t>
      </w:r>
      <w:r w:rsidRPr="00E5479E">
        <w:rPr>
          <w:b/>
          <w:szCs w:val="28"/>
        </w:rPr>
        <w:t>И</w:t>
      </w:r>
      <w:r w:rsidRPr="00E5479E">
        <w:rPr>
          <w:b/>
          <w:szCs w:val="28"/>
        </w:rPr>
        <w:t>ТОМ</w:t>
      </w:r>
      <w:r w:rsidRPr="00E5479E">
        <w:rPr>
          <w:b/>
        </w:rPr>
        <w:t xml:space="preserve"> ………………………………………44</w:t>
      </w:r>
    </w:p>
    <w:tbl>
      <w:tblPr>
        <w:tblW w:w="9498" w:type="dxa"/>
        <w:tblInd w:w="108" w:type="dxa"/>
        <w:tblLayout w:type="fixed"/>
        <w:tblLook w:val="0000" w:firstRow="0" w:lastRow="0" w:firstColumn="0" w:lastColumn="0" w:noHBand="0" w:noVBand="0"/>
      </w:tblPr>
      <w:tblGrid>
        <w:gridCol w:w="709"/>
        <w:gridCol w:w="8080"/>
        <w:gridCol w:w="709"/>
      </w:tblGrid>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rPr>
            </w:pPr>
            <w:r w:rsidRPr="00E5479E">
              <w:rPr>
                <w:sz w:val="28"/>
              </w:rPr>
              <w:t>3.1</w:t>
            </w:r>
          </w:p>
        </w:tc>
        <w:tc>
          <w:tcPr>
            <w:tcW w:w="8080" w:type="dxa"/>
          </w:tcPr>
          <w:p w:rsidR="0019442B" w:rsidRPr="00E5479E" w:rsidRDefault="0019442B" w:rsidP="00BC27C3">
            <w:pPr>
              <w:pStyle w:val="21"/>
            </w:pPr>
            <w:r w:rsidRPr="00E5479E">
              <w:t>Видовой состав и биологические свойства этиологических аге</w:t>
            </w:r>
            <w:r w:rsidRPr="00E5479E">
              <w:t>н</w:t>
            </w:r>
            <w:r w:rsidRPr="00E5479E">
              <w:t>тов хронического периодонтита ……………………………………</w:t>
            </w:r>
          </w:p>
        </w:tc>
        <w:tc>
          <w:tcPr>
            <w:tcW w:w="709" w:type="dxa"/>
          </w:tcPr>
          <w:p w:rsidR="0019442B" w:rsidRPr="00E5479E" w:rsidRDefault="0019442B" w:rsidP="00BC27C3">
            <w:pPr>
              <w:spacing w:line="360" w:lineRule="auto"/>
              <w:jc w:val="both"/>
              <w:rPr>
                <w:sz w:val="28"/>
              </w:rPr>
            </w:pPr>
          </w:p>
          <w:p w:rsidR="0019442B" w:rsidRPr="00E5479E" w:rsidRDefault="0019442B" w:rsidP="00BC27C3">
            <w:pPr>
              <w:spacing w:line="360" w:lineRule="auto"/>
              <w:jc w:val="both"/>
              <w:rPr>
                <w:sz w:val="28"/>
              </w:rPr>
            </w:pPr>
            <w:r w:rsidRPr="00E5479E">
              <w:rPr>
                <w:sz w:val="28"/>
              </w:rPr>
              <w:t>44</w:t>
            </w:r>
          </w:p>
        </w:tc>
      </w:tr>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rPr>
            </w:pPr>
            <w:r w:rsidRPr="00E5479E">
              <w:rPr>
                <w:sz w:val="28"/>
              </w:rPr>
              <w:t>3.2.</w:t>
            </w:r>
          </w:p>
        </w:tc>
        <w:tc>
          <w:tcPr>
            <w:tcW w:w="8080" w:type="dxa"/>
          </w:tcPr>
          <w:p w:rsidR="0019442B" w:rsidRPr="00E5479E" w:rsidRDefault="0019442B" w:rsidP="00BC27C3">
            <w:pPr>
              <w:spacing w:line="360" w:lineRule="auto"/>
              <w:jc w:val="both"/>
              <w:rPr>
                <w:sz w:val="28"/>
              </w:rPr>
            </w:pPr>
            <w:r w:rsidRPr="00E5479E">
              <w:rPr>
                <w:sz w:val="28"/>
                <w:szCs w:val="28"/>
              </w:rPr>
              <w:t>Иммунный ст</w:t>
            </w:r>
            <w:r w:rsidRPr="00E5479E">
              <w:rPr>
                <w:sz w:val="28"/>
                <w:szCs w:val="28"/>
              </w:rPr>
              <w:t>а</w:t>
            </w:r>
            <w:r w:rsidRPr="00E5479E">
              <w:rPr>
                <w:sz w:val="28"/>
                <w:szCs w:val="28"/>
              </w:rPr>
              <w:t>тус…………………………………………………….</w:t>
            </w:r>
          </w:p>
        </w:tc>
        <w:tc>
          <w:tcPr>
            <w:tcW w:w="709" w:type="dxa"/>
          </w:tcPr>
          <w:p w:rsidR="0019442B" w:rsidRPr="00E5479E" w:rsidRDefault="0019442B" w:rsidP="00BC27C3">
            <w:pPr>
              <w:spacing w:line="360" w:lineRule="auto"/>
              <w:jc w:val="both"/>
              <w:rPr>
                <w:sz w:val="28"/>
              </w:rPr>
            </w:pPr>
            <w:r w:rsidRPr="00E5479E">
              <w:rPr>
                <w:sz w:val="28"/>
              </w:rPr>
              <w:t>52</w:t>
            </w:r>
          </w:p>
        </w:tc>
      </w:tr>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rPr>
            </w:pPr>
            <w:r w:rsidRPr="00E5479E">
              <w:rPr>
                <w:sz w:val="28"/>
              </w:rPr>
              <w:t>3.3.</w:t>
            </w:r>
          </w:p>
        </w:tc>
        <w:tc>
          <w:tcPr>
            <w:tcW w:w="8080" w:type="dxa"/>
          </w:tcPr>
          <w:p w:rsidR="0019442B" w:rsidRPr="00E5479E" w:rsidRDefault="0019442B" w:rsidP="00BC27C3">
            <w:pPr>
              <w:spacing w:line="360" w:lineRule="auto"/>
              <w:jc w:val="both"/>
              <w:rPr>
                <w:sz w:val="28"/>
                <w:szCs w:val="28"/>
              </w:rPr>
            </w:pPr>
            <w:r w:rsidRPr="00E5479E">
              <w:rPr>
                <w:sz w:val="28"/>
                <w:szCs w:val="28"/>
              </w:rPr>
              <w:t xml:space="preserve">Состояние процессов перекисного окисления липидов и </w:t>
            </w:r>
            <w:r w:rsidRPr="00E5479E">
              <w:rPr>
                <w:sz w:val="28"/>
                <w:szCs w:val="28"/>
              </w:rPr>
              <w:lastRenderedPageBreak/>
              <w:t>ферментативной системы антиокислительной защ</w:t>
            </w:r>
            <w:r w:rsidRPr="00E5479E">
              <w:rPr>
                <w:sz w:val="28"/>
                <w:szCs w:val="28"/>
              </w:rPr>
              <w:t>и</w:t>
            </w:r>
            <w:r w:rsidRPr="00E5479E">
              <w:rPr>
                <w:sz w:val="28"/>
                <w:szCs w:val="28"/>
              </w:rPr>
              <w:t>ты……………………</w:t>
            </w:r>
          </w:p>
        </w:tc>
        <w:tc>
          <w:tcPr>
            <w:tcW w:w="709" w:type="dxa"/>
          </w:tcPr>
          <w:p w:rsidR="0019442B" w:rsidRPr="00E5479E" w:rsidRDefault="0019442B" w:rsidP="00BC27C3">
            <w:pPr>
              <w:spacing w:line="360" w:lineRule="auto"/>
              <w:jc w:val="both"/>
              <w:rPr>
                <w:sz w:val="28"/>
              </w:rPr>
            </w:pPr>
          </w:p>
          <w:p w:rsidR="0019442B" w:rsidRPr="00E5479E" w:rsidRDefault="0019442B" w:rsidP="00BC27C3">
            <w:pPr>
              <w:spacing w:line="360" w:lineRule="auto"/>
              <w:jc w:val="both"/>
              <w:rPr>
                <w:sz w:val="28"/>
              </w:rPr>
            </w:pPr>
            <w:r w:rsidRPr="00E5479E">
              <w:rPr>
                <w:sz w:val="28"/>
              </w:rPr>
              <w:lastRenderedPageBreak/>
              <w:t>58</w:t>
            </w:r>
          </w:p>
        </w:tc>
      </w:tr>
    </w:tbl>
    <w:p w:rsidR="0019442B" w:rsidRPr="00E5479E" w:rsidRDefault="0019442B" w:rsidP="0019442B">
      <w:pPr>
        <w:spacing w:line="360" w:lineRule="auto"/>
        <w:jc w:val="both"/>
        <w:rPr>
          <w:sz w:val="28"/>
          <w:szCs w:val="28"/>
        </w:rPr>
      </w:pPr>
      <w:r w:rsidRPr="00E5479E">
        <w:rPr>
          <w:sz w:val="28"/>
          <w:szCs w:val="28"/>
        </w:rPr>
        <w:lastRenderedPageBreak/>
        <w:t>ГЛАВА 4. ЭФФЕКТИВНОСТЬ ТРЁХЭТАПНОГО ЛЕЧЕНИЯ БОЛЬНЫХ ХРОНИЧЕСКИМ ПЕРИОДОНТИТОМ С ИСПОЛЬЗОВАНИЕМ КОМПОЗИЦИИ ДЛЯ ВРЕМЕННОГО ПЛОМБИРОВАНИЯ КОРН</w:t>
      </w:r>
      <w:r w:rsidRPr="00E5479E">
        <w:rPr>
          <w:sz w:val="28"/>
          <w:szCs w:val="28"/>
        </w:rPr>
        <w:t>Е</w:t>
      </w:r>
      <w:r w:rsidRPr="00E5479E">
        <w:rPr>
          <w:sz w:val="28"/>
          <w:szCs w:val="28"/>
        </w:rPr>
        <w:t>ВЫХ КАНАЛОВ, СОДЕРЖАЩЕЙ ВИТАМИН Е И МЕТРОНИД</w:t>
      </w:r>
      <w:r w:rsidRPr="00E5479E">
        <w:rPr>
          <w:sz w:val="28"/>
          <w:szCs w:val="28"/>
        </w:rPr>
        <w:t>А</w:t>
      </w:r>
      <w:r w:rsidRPr="00E5479E">
        <w:rPr>
          <w:sz w:val="28"/>
          <w:szCs w:val="28"/>
        </w:rPr>
        <w:t>ЗОЛ………………………..67</w:t>
      </w:r>
    </w:p>
    <w:tbl>
      <w:tblPr>
        <w:tblW w:w="9611" w:type="dxa"/>
        <w:tblInd w:w="108" w:type="dxa"/>
        <w:tblLayout w:type="fixed"/>
        <w:tblLook w:val="0000" w:firstRow="0" w:lastRow="0" w:firstColumn="0" w:lastColumn="0" w:noHBand="0" w:noVBand="0"/>
      </w:tblPr>
      <w:tblGrid>
        <w:gridCol w:w="709"/>
        <w:gridCol w:w="8051"/>
        <w:gridCol w:w="851"/>
      </w:tblGrid>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szCs w:val="28"/>
              </w:rPr>
            </w:pPr>
            <w:r w:rsidRPr="00E5479E">
              <w:rPr>
                <w:sz w:val="28"/>
                <w:szCs w:val="28"/>
              </w:rPr>
              <w:t>4.1.</w:t>
            </w:r>
          </w:p>
        </w:tc>
        <w:tc>
          <w:tcPr>
            <w:tcW w:w="8051" w:type="dxa"/>
          </w:tcPr>
          <w:p w:rsidR="0019442B" w:rsidRPr="00E5479E" w:rsidRDefault="0019442B" w:rsidP="00BC27C3">
            <w:pPr>
              <w:spacing w:line="360" w:lineRule="auto"/>
              <w:jc w:val="both"/>
              <w:rPr>
                <w:sz w:val="28"/>
                <w:szCs w:val="28"/>
              </w:rPr>
            </w:pPr>
            <w:r w:rsidRPr="00E5479E">
              <w:rPr>
                <w:sz w:val="28"/>
                <w:szCs w:val="28"/>
              </w:rPr>
              <w:t>Влияние на микробиологические показат</w:t>
            </w:r>
            <w:r w:rsidRPr="00E5479E">
              <w:rPr>
                <w:sz w:val="28"/>
                <w:szCs w:val="28"/>
              </w:rPr>
              <w:t>е</w:t>
            </w:r>
            <w:r w:rsidRPr="00E5479E">
              <w:rPr>
                <w:sz w:val="28"/>
                <w:szCs w:val="28"/>
              </w:rPr>
              <w:t>ли……………………...</w:t>
            </w:r>
          </w:p>
        </w:tc>
        <w:tc>
          <w:tcPr>
            <w:tcW w:w="851" w:type="dxa"/>
          </w:tcPr>
          <w:p w:rsidR="0019442B" w:rsidRPr="00E5479E" w:rsidRDefault="0019442B" w:rsidP="00BC27C3">
            <w:pPr>
              <w:spacing w:line="360" w:lineRule="auto"/>
              <w:jc w:val="both"/>
              <w:rPr>
                <w:sz w:val="28"/>
                <w:szCs w:val="28"/>
              </w:rPr>
            </w:pPr>
            <w:r w:rsidRPr="00E5479E">
              <w:rPr>
                <w:sz w:val="28"/>
                <w:szCs w:val="28"/>
              </w:rPr>
              <w:t>67</w:t>
            </w:r>
          </w:p>
        </w:tc>
      </w:tr>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szCs w:val="28"/>
              </w:rPr>
            </w:pPr>
            <w:r w:rsidRPr="00E5479E">
              <w:rPr>
                <w:sz w:val="28"/>
                <w:szCs w:val="28"/>
              </w:rPr>
              <w:t>4.2.</w:t>
            </w:r>
          </w:p>
        </w:tc>
        <w:tc>
          <w:tcPr>
            <w:tcW w:w="8051" w:type="dxa"/>
          </w:tcPr>
          <w:p w:rsidR="0019442B" w:rsidRPr="00E5479E" w:rsidRDefault="0019442B" w:rsidP="00BC27C3">
            <w:pPr>
              <w:spacing w:line="360" w:lineRule="auto"/>
              <w:jc w:val="both"/>
              <w:rPr>
                <w:sz w:val="28"/>
                <w:szCs w:val="28"/>
              </w:rPr>
            </w:pPr>
            <w:r w:rsidRPr="00E5479E">
              <w:rPr>
                <w:sz w:val="28"/>
                <w:szCs w:val="28"/>
              </w:rPr>
              <w:t>Влияние на иммунный ст</w:t>
            </w:r>
            <w:r w:rsidRPr="00E5479E">
              <w:rPr>
                <w:sz w:val="28"/>
                <w:szCs w:val="28"/>
              </w:rPr>
              <w:t>а</w:t>
            </w:r>
            <w:r w:rsidRPr="00E5479E">
              <w:rPr>
                <w:sz w:val="28"/>
                <w:szCs w:val="28"/>
              </w:rPr>
              <w:t>тус…………………………………….....</w:t>
            </w:r>
          </w:p>
        </w:tc>
        <w:tc>
          <w:tcPr>
            <w:tcW w:w="851" w:type="dxa"/>
          </w:tcPr>
          <w:p w:rsidR="0019442B" w:rsidRPr="00E5479E" w:rsidRDefault="0019442B" w:rsidP="00BC27C3">
            <w:pPr>
              <w:spacing w:line="360" w:lineRule="auto"/>
              <w:jc w:val="both"/>
              <w:rPr>
                <w:sz w:val="28"/>
                <w:szCs w:val="28"/>
              </w:rPr>
            </w:pPr>
            <w:r w:rsidRPr="00E5479E">
              <w:rPr>
                <w:sz w:val="28"/>
                <w:szCs w:val="28"/>
              </w:rPr>
              <w:t>74</w:t>
            </w:r>
          </w:p>
        </w:tc>
      </w:tr>
      <w:tr w:rsidR="0019442B" w:rsidRPr="00E5479E" w:rsidTr="00BC27C3">
        <w:tblPrEx>
          <w:tblCellMar>
            <w:top w:w="0" w:type="dxa"/>
            <w:bottom w:w="0" w:type="dxa"/>
          </w:tblCellMar>
        </w:tblPrEx>
        <w:tc>
          <w:tcPr>
            <w:tcW w:w="709" w:type="dxa"/>
          </w:tcPr>
          <w:p w:rsidR="0019442B" w:rsidRPr="00E5479E" w:rsidRDefault="0019442B" w:rsidP="00BC27C3">
            <w:pPr>
              <w:spacing w:line="360" w:lineRule="auto"/>
              <w:jc w:val="both"/>
              <w:rPr>
                <w:sz w:val="28"/>
                <w:szCs w:val="28"/>
              </w:rPr>
            </w:pPr>
            <w:r w:rsidRPr="00E5479E">
              <w:rPr>
                <w:sz w:val="28"/>
                <w:szCs w:val="28"/>
              </w:rPr>
              <w:t>4.3.</w:t>
            </w:r>
          </w:p>
        </w:tc>
        <w:tc>
          <w:tcPr>
            <w:tcW w:w="8051" w:type="dxa"/>
          </w:tcPr>
          <w:p w:rsidR="0019442B" w:rsidRPr="00E5479E" w:rsidRDefault="0019442B" w:rsidP="00BC27C3">
            <w:pPr>
              <w:spacing w:line="360" w:lineRule="auto"/>
              <w:jc w:val="both"/>
              <w:rPr>
                <w:sz w:val="28"/>
                <w:szCs w:val="28"/>
              </w:rPr>
            </w:pPr>
            <w:r w:rsidRPr="00E5479E">
              <w:rPr>
                <w:sz w:val="28"/>
                <w:szCs w:val="28"/>
              </w:rPr>
              <w:t>Влияние на метаболические показат</w:t>
            </w:r>
            <w:r w:rsidRPr="00E5479E">
              <w:rPr>
                <w:sz w:val="28"/>
                <w:szCs w:val="28"/>
              </w:rPr>
              <w:t>е</w:t>
            </w:r>
            <w:r w:rsidRPr="00E5479E">
              <w:rPr>
                <w:sz w:val="28"/>
                <w:szCs w:val="28"/>
              </w:rPr>
              <w:t>ли……………………………</w:t>
            </w:r>
          </w:p>
        </w:tc>
        <w:tc>
          <w:tcPr>
            <w:tcW w:w="851" w:type="dxa"/>
          </w:tcPr>
          <w:p w:rsidR="0019442B" w:rsidRPr="00E5479E" w:rsidRDefault="0019442B" w:rsidP="00BC27C3">
            <w:pPr>
              <w:spacing w:line="360" w:lineRule="auto"/>
              <w:jc w:val="both"/>
              <w:rPr>
                <w:sz w:val="28"/>
                <w:szCs w:val="28"/>
              </w:rPr>
            </w:pPr>
            <w:r w:rsidRPr="00E5479E">
              <w:rPr>
                <w:sz w:val="28"/>
                <w:szCs w:val="28"/>
              </w:rPr>
              <w:t>83</w:t>
            </w:r>
          </w:p>
        </w:tc>
      </w:tr>
    </w:tbl>
    <w:p w:rsidR="0019442B" w:rsidRPr="00E5479E" w:rsidRDefault="0019442B" w:rsidP="0019442B">
      <w:pPr>
        <w:spacing w:line="360" w:lineRule="auto"/>
        <w:jc w:val="both"/>
        <w:rPr>
          <w:sz w:val="28"/>
        </w:rPr>
      </w:pPr>
      <w:r w:rsidRPr="00E5479E">
        <w:rPr>
          <w:sz w:val="28"/>
        </w:rPr>
        <w:t>АНАЛИЗ И ОБОБЩЕНИЕ РЕЗУЛЬТАТОВ ИССЛЕДОВ</w:t>
      </w:r>
      <w:r w:rsidRPr="00E5479E">
        <w:rPr>
          <w:sz w:val="28"/>
        </w:rPr>
        <w:t>А</w:t>
      </w:r>
      <w:r w:rsidRPr="00E5479E">
        <w:rPr>
          <w:sz w:val="28"/>
        </w:rPr>
        <w:t>НИЯ……….......91</w:t>
      </w:r>
    </w:p>
    <w:p w:rsidR="0019442B" w:rsidRPr="00E5479E" w:rsidRDefault="0019442B" w:rsidP="0019442B">
      <w:pPr>
        <w:spacing w:line="360" w:lineRule="auto"/>
        <w:jc w:val="both"/>
        <w:rPr>
          <w:sz w:val="28"/>
        </w:rPr>
      </w:pPr>
      <w:r w:rsidRPr="00E5479E">
        <w:rPr>
          <w:sz w:val="28"/>
        </w:rPr>
        <w:t>ВЫВ</w:t>
      </w:r>
      <w:r w:rsidRPr="00E5479E">
        <w:rPr>
          <w:sz w:val="28"/>
        </w:rPr>
        <w:t>О</w:t>
      </w:r>
      <w:r w:rsidRPr="00E5479E">
        <w:rPr>
          <w:sz w:val="28"/>
        </w:rPr>
        <w:t>ДЫ.......………………………………………………………....…..……102</w:t>
      </w:r>
    </w:p>
    <w:p w:rsidR="0019442B" w:rsidRPr="00E5479E" w:rsidRDefault="0019442B" w:rsidP="0019442B">
      <w:pPr>
        <w:pStyle w:val="31"/>
        <w:spacing w:before="0" w:after="0" w:line="360" w:lineRule="auto"/>
        <w:jc w:val="both"/>
        <w:rPr>
          <w:rFonts w:ascii="Times New Roman" w:hAnsi="Times New Roman" w:cs="Times New Roman"/>
          <w:b w:val="0"/>
          <w:bCs/>
          <w:sz w:val="28"/>
          <w:szCs w:val="24"/>
        </w:rPr>
      </w:pPr>
      <w:r w:rsidRPr="00E5479E">
        <w:rPr>
          <w:rFonts w:ascii="Times New Roman" w:hAnsi="Times New Roman" w:cs="Times New Roman"/>
          <w:b w:val="0"/>
          <w:bCs/>
          <w:sz w:val="28"/>
          <w:szCs w:val="24"/>
        </w:rPr>
        <w:t>ПРАКТИЧЕСКИЕ РЕКОМЕНД</w:t>
      </w:r>
      <w:r w:rsidRPr="00E5479E">
        <w:rPr>
          <w:rFonts w:ascii="Times New Roman" w:hAnsi="Times New Roman" w:cs="Times New Roman"/>
          <w:b w:val="0"/>
          <w:bCs/>
          <w:sz w:val="28"/>
          <w:szCs w:val="24"/>
        </w:rPr>
        <w:t>А</w:t>
      </w:r>
      <w:r w:rsidRPr="00E5479E">
        <w:rPr>
          <w:rFonts w:ascii="Times New Roman" w:hAnsi="Times New Roman" w:cs="Times New Roman"/>
          <w:b w:val="0"/>
          <w:bCs/>
          <w:sz w:val="28"/>
          <w:szCs w:val="24"/>
        </w:rPr>
        <w:t>ЦИИ……………………………………….104</w:t>
      </w:r>
    </w:p>
    <w:p w:rsidR="0019442B" w:rsidRPr="00E5479E" w:rsidRDefault="0019442B" w:rsidP="0019442B">
      <w:pPr>
        <w:pStyle w:val="31"/>
        <w:spacing w:before="0" w:after="0" w:line="360" w:lineRule="auto"/>
        <w:jc w:val="both"/>
        <w:rPr>
          <w:rFonts w:ascii="Times New Roman" w:hAnsi="Times New Roman" w:cs="Times New Roman"/>
          <w:b w:val="0"/>
          <w:bCs/>
          <w:sz w:val="28"/>
          <w:szCs w:val="24"/>
        </w:rPr>
      </w:pPr>
      <w:r w:rsidRPr="00E5479E">
        <w:rPr>
          <w:rFonts w:ascii="Times New Roman" w:hAnsi="Times New Roman" w:cs="Times New Roman"/>
          <w:b w:val="0"/>
          <w:bCs/>
          <w:sz w:val="28"/>
          <w:szCs w:val="24"/>
        </w:rPr>
        <w:t>СПИСОК ИСПОЛЬЗОВАННЫХ ПЕРВОИСТОЧН</w:t>
      </w:r>
      <w:r w:rsidRPr="00E5479E">
        <w:rPr>
          <w:rFonts w:ascii="Times New Roman" w:hAnsi="Times New Roman" w:cs="Times New Roman"/>
          <w:b w:val="0"/>
          <w:bCs/>
          <w:sz w:val="28"/>
          <w:szCs w:val="24"/>
        </w:rPr>
        <w:t>И</w:t>
      </w:r>
      <w:r w:rsidRPr="00E5479E">
        <w:rPr>
          <w:rFonts w:ascii="Times New Roman" w:hAnsi="Times New Roman" w:cs="Times New Roman"/>
          <w:b w:val="0"/>
          <w:bCs/>
          <w:sz w:val="28"/>
          <w:szCs w:val="24"/>
        </w:rPr>
        <w:t>КОВ…......…..……….105</w:t>
      </w:r>
    </w:p>
    <w:p w:rsidR="0019442B" w:rsidRPr="00E5479E" w:rsidRDefault="0019442B" w:rsidP="0019442B">
      <w:pPr>
        <w:rPr>
          <w:sz w:val="28"/>
        </w:rPr>
      </w:pPr>
    </w:p>
    <w:p w:rsidR="0019442B" w:rsidRPr="00E5479E" w:rsidRDefault="0019442B" w:rsidP="0019442B">
      <w:pPr>
        <w:pStyle w:val="affffffff5"/>
        <w:spacing w:line="360" w:lineRule="auto"/>
        <w:jc w:val="center"/>
        <w:rPr>
          <w:b/>
          <w:szCs w:val="28"/>
        </w:rPr>
      </w:pPr>
      <w:r>
        <w:rPr>
          <w:b/>
          <w:szCs w:val="28"/>
        </w:rPr>
        <w:br w:type="page"/>
      </w:r>
      <w:r w:rsidRPr="00E5479E">
        <w:rPr>
          <w:b/>
          <w:szCs w:val="28"/>
        </w:rPr>
        <w:lastRenderedPageBreak/>
        <w:t>ПЕРЕЧЕНЬ УСЛОВНЫХ ОБОЗНАЧЕНИЙ, СИМВОЛОВ, ЕДИНИЦ, СОКРАЩ</w:t>
      </w:r>
      <w:r w:rsidRPr="00E5479E">
        <w:rPr>
          <w:b/>
          <w:szCs w:val="28"/>
        </w:rPr>
        <w:t>Е</w:t>
      </w:r>
      <w:r w:rsidRPr="00E5479E">
        <w:rPr>
          <w:b/>
          <w:szCs w:val="28"/>
        </w:rPr>
        <w:t>НИЙ И ТЕРМИНОВ</w:t>
      </w:r>
    </w:p>
    <w:p w:rsidR="0019442B" w:rsidRPr="00E5479E" w:rsidRDefault="0019442B" w:rsidP="0019442B">
      <w:pPr>
        <w:jc w:val="center"/>
        <w:rPr>
          <w:sz w:val="28"/>
        </w:rPr>
      </w:pPr>
    </w:p>
    <w:p w:rsidR="0019442B" w:rsidRPr="00E5479E" w:rsidRDefault="0019442B" w:rsidP="0019442B">
      <w:pPr>
        <w:pStyle w:val="affffffffb"/>
        <w:jc w:val="center"/>
        <w:rPr>
          <w:sz w:val="28"/>
        </w:rPr>
      </w:pPr>
    </w:p>
    <w:p w:rsidR="0019442B" w:rsidRPr="00E5479E" w:rsidRDefault="0019442B" w:rsidP="0019442B">
      <w:pPr>
        <w:pStyle w:val="affffffffb"/>
        <w:jc w:val="center"/>
        <w:rPr>
          <w:sz w:val="28"/>
        </w:rPr>
      </w:pPr>
    </w:p>
    <w:tbl>
      <w:tblPr>
        <w:tblW w:w="0" w:type="auto"/>
        <w:tblInd w:w="108" w:type="dxa"/>
        <w:tblLayout w:type="fixed"/>
        <w:tblLook w:val="0000" w:firstRow="0" w:lastRow="0" w:firstColumn="0" w:lastColumn="0" w:noHBand="0" w:noVBand="0"/>
      </w:tblPr>
      <w:tblGrid>
        <w:gridCol w:w="2428"/>
        <w:gridCol w:w="346"/>
        <w:gridCol w:w="6609"/>
      </w:tblGrid>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АИА</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антииммуноглобулиновая активность</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АКА</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антикомплементарная активность</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АЛА</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антилизоцимная активность</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АОЗ</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антиокислительная защита</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г</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грамм</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Г/л</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 xml:space="preserve">Гига на литр, или 9 </w:t>
            </w:r>
            <w:r w:rsidRPr="00E5479E">
              <w:rPr>
                <w:sz w:val="28"/>
                <w:lang w:val="en-US"/>
              </w:rPr>
              <w:t>lg</w:t>
            </w:r>
            <w:r w:rsidRPr="00E5479E">
              <w:rPr>
                <w:sz w:val="28"/>
              </w:rPr>
              <w:t xml:space="preserve"> на литр</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ДК</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диеновые конъюгаты</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К</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коэффициент (ДК+МДА)/(каталаза+СОД)</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кг</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Килограмм</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КОЕ</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колониеобразующие единицы</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л</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Литр</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ЛПС</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липополисахарид</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мг</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миллиграмм</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МДА</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малоновый диальдегид</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МЕ</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международная единица</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мин.</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минута</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мкг</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микрограмм</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мкмоль</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микромоль</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мл</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миллитр</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млн.</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миллион</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нм</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нанометр</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color w:val="000000"/>
                <w:sz w:val="28"/>
              </w:rPr>
            </w:pPr>
            <w:r w:rsidRPr="00E5479E">
              <w:rPr>
                <w:color w:val="000000"/>
                <w:sz w:val="28"/>
              </w:rPr>
              <w:t>ПГ</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простагландин</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пг</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пикограмм</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color w:val="000000"/>
                <w:sz w:val="28"/>
              </w:rPr>
            </w:pPr>
            <w:r w:rsidRPr="00E5479E">
              <w:rPr>
                <w:color w:val="000000"/>
                <w:sz w:val="28"/>
              </w:rPr>
              <w:t>ПГН</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пептидогликан</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ПМА</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папиллярно-маргинально-альвеолярный индекс</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ПОЛ</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перекисное окисление липидов</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lastRenderedPageBreak/>
              <w:t>СОД</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 xml:space="preserve">супероксиддисмутаза </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у.е.</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условные единицы</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ФИ</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фагоцитарный индекс</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ФЧ</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фагоцитарное число</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rPr>
              <w:t>ЦИК</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циркулирующие иммунные комплексы</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rPr>
            </w:pPr>
            <w:r w:rsidRPr="00E5479E">
              <w:rPr>
                <w:sz w:val="28"/>
              </w:rPr>
              <w:t>ч</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час</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lang w:val="en-US"/>
              </w:rPr>
            </w:pPr>
            <w:r w:rsidRPr="00E5479E">
              <w:rPr>
                <w:sz w:val="28"/>
                <w:lang w:val="en-US"/>
              </w:rPr>
              <w:t>CD16</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 xml:space="preserve">натуральные </w:t>
            </w:r>
            <w:proofErr w:type="gramStart"/>
            <w:r w:rsidRPr="00E5479E">
              <w:rPr>
                <w:sz w:val="28"/>
              </w:rPr>
              <w:t>киллеры</w:t>
            </w:r>
            <w:proofErr w:type="gramEnd"/>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rPr>
            </w:pPr>
            <w:r w:rsidRPr="00E5479E">
              <w:rPr>
                <w:sz w:val="28"/>
                <w:lang w:val="en-US"/>
              </w:rPr>
              <w:t>CD22</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В-лимфоциты</w:t>
            </w:r>
          </w:p>
        </w:tc>
      </w:tr>
      <w:tr w:rsidR="0019442B" w:rsidRPr="00E5479E" w:rsidTr="00BC27C3">
        <w:tblPrEx>
          <w:tblCellMar>
            <w:top w:w="0" w:type="dxa"/>
            <w:bottom w:w="0" w:type="dxa"/>
          </w:tblCellMar>
        </w:tblPrEx>
        <w:trPr>
          <w:trHeight w:val="487"/>
        </w:trPr>
        <w:tc>
          <w:tcPr>
            <w:tcW w:w="2428" w:type="dxa"/>
          </w:tcPr>
          <w:p w:rsidR="0019442B" w:rsidRPr="00E5479E" w:rsidRDefault="0019442B" w:rsidP="00BC27C3">
            <w:pPr>
              <w:pStyle w:val="affffffffb"/>
              <w:spacing w:line="360" w:lineRule="auto"/>
              <w:rPr>
                <w:sz w:val="28"/>
                <w:lang w:val="en-US"/>
              </w:rPr>
            </w:pPr>
            <w:r w:rsidRPr="00E5479E">
              <w:rPr>
                <w:sz w:val="28"/>
                <w:lang w:val="en-US"/>
              </w:rPr>
              <w:t>CD3</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общие Т-лимфоциты</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lang w:val="en-US"/>
              </w:rPr>
            </w:pPr>
            <w:r w:rsidRPr="00E5479E">
              <w:rPr>
                <w:sz w:val="28"/>
                <w:lang w:val="en-US"/>
              </w:rPr>
              <w:t>CD4</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Т-хелперы/индукторы</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lang w:val="en-US"/>
              </w:rPr>
            </w:pPr>
            <w:r w:rsidRPr="00E5479E">
              <w:rPr>
                <w:sz w:val="28"/>
                <w:lang w:val="en-US"/>
              </w:rPr>
              <w:t>CD4/CD8</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иммунорегуляторный индекс</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lang w:val="en-US"/>
              </w:rPr>
            </w:pPr>
            <w:r w:rsidRPr="00E5479E">
              <w:rPr>
                <w:sz w:val="28"/>
                <w:lang w:val="en-US"/>
              </w:rPr>
              <w:t>CD8</w:t>
            </w:r>
          </w:p>
        </w:tc>
        <w:tc>
          <w:tcPr>
            <w:tcW w:w="346" w:type="dxa"/>
          </w:tcPr>
          <w:p w:rsidR="0019442B" w:rsidRPr="00E5479E" w:rsidRDefault="0019442B" w:rsidP="00BC27C3">
            <w:pPr>
              <w:pStyle w:val="affffffffb"/>
              <w:spacing w:line="360" w:lineRule="auto"/>
              <w:jc w:val="center"/>
              <w:rPr>
                <w:sz w:val="28"/>
                <w:szCs w:val="28"/>
              </w:rPr>
            </w:pPr>
            <w:r w:rsidRPr="00E5479E">
              <w:rPr>
                <w:sz w:val="28"/>
                <w:szCs w:val="28"/>
              </w:rPr>
              <w:t>-</w:t>
            </w:r>
          </w:p>
        </w:tc>
        <w:tc>
          <w:tcPr>
            <w:tcW w:w="6609" w:type="dxa"/>
          </w:tcPr>
          <w:p w:rsidR="0019442B" w:rsidRPr="00E5479E" w:rsidRDefault="0019442B" w:rsidP="00BC27C3">
            <w:pPr>
              <w:pStyle w:val="affffffffb"/>
              <w:spacing w:line="360" w:lineRule="auto"/>
              <w:jc w:val="both"/>
              <w:rPr>
                <w:sz w:val="28"/>
              </w:rPr>
            </w:pPr>
            <w:r w:rsidRPr="00E5479E">
              <w:rPr>
                <w:sz w:val="28"/>
              </w:rPr>
              <w:t>Т-супрессоры цитотоксические</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lang w:val="en-US"/>
              </w:rPr>
            </w:pPr>
            <w:r w:rsidRPr="00E5479E">
              <w:rPr>
                <w:sz w:val="28"/>
                <w:lang w:val="en-US"/>
              </w:rPr>
              <w:t>Hb</w:t>
            </w:r>
          </w:p>
        </w:tc>
        <w:tc>
          <w:tcPr>
            <w:tcW w:w="346" w:type="dxa"/>
          </w:tcPr>
          <w:p w:rsidR="0019442B" w:rsidRPr="00E5479E" w:rsidRDefault="0019442B" w:rsidP="00BC27C3">
            <w:pPr>
              <w:pStyle w:val="affffffffb"/>
              <w:spacing w:line="360" w:lineRule="auto"/>
              <w:jc w:val="center"/>
              <w:rPr>
                <w:sz w:val="28"/>
                <w:szCs w:val="28"/>
                <w:lang w:val="en-US"/>
              </w:rPr>
            </w:pPr>
            <w:r w:rsidRPr="00E5479E">
              <w:rPr>
                <w:sz w:val="28"/>
                <w:szCs w:val="28"/>
                <w:lang w:val="en-US"/>
              </w:rPr>
              <w:t>-</w:t>
            </w:r>
          </w:p>
        </w:tc>
        <w:tc>
          <w:tcPr>
            <w:tcW w:w="6609" w:type="dxa"/>
          </w:tcPr>
          <w:p w:rsidR="0019442B" w:rsidRPr="00E5479E" w:rsidRDefault="0019442B" w:rsidP="00BC27C3">
            <w:pPr>
              <w:pStyle w:val="affffffffb"/>
              <w:spacing w:line="360" w:lineRule="auto"/>
              <w:jc w:val="both"/>
              <w:rPr>
                <w:sz w:val="28"/>
              </w:rPr>
            </w:pPr>
            <w:r w:rsidRPr="00E5479E">
              <w:rPr>
                <w:sz w:val="28"/>
              </w:rPr>
              <w:t>гемоглобин</w:t>
            </w:r>
          </w:p>
        </w:tc>
      </w:tr>
      <w:tr w:rsidR="0019442B" w:rsidRPr="00E5479E" w:rsidTr="00BC27C3">
        <w:tblPrEx>
          <w:tblCellMar>
            <w:top w:w="0" w:type="dxa"/>
            <w:bottom w:w="0" w:type="dxa"/>
          </w:tblCellMar>
        </w:tblPrEx>
        <w:trPr>
          <w:trHeight w:val="474"/>
        </w:trPr>
        <w:tc>
          <w:tcPr>
            <w:tcW w:w="2428" w:type="dxa"/>
          </w:tcPr>
          <w:p w:rsidR="0019442B" w:rsidRPr="00E5479E" w:rsidRDefault="0019442B" w:rsidP="00BC27C3">
            <w:pPr>
              <w:pStyle w:val="affffffffb"/>
              <w:spacing w:line="360" w:lineRule="auto"/>
              <w:rPr>
                <w:sz w:val="28"/>
                <w:lang w:val="en-US"/>
              </w:rPr>
            </w:pPr>
            <w:r w:rsidRPr="00E5479E">
              <w:rPr>
                <w:sz w:val="28"/>
                <w:lang w:val="en-US"/>
              </w:rPr>
              <w:t xml:space="preserve">Ig </w:t>
            </w:r>
          </w:p>
        </w:tc>
        <w:tc>
          <w:tcPr>
            <w:tcW w:w="346" w:type="dxa"/>
          </w:tcPr>
          <w:p w:rsidR="0019442B" w:rsidRPr="00E5479E" w:rsidRDefault="0019442B" w:rsidP="00BC27C3">
            <w:pPr>
              <w:pStyle w:val="affffffffb"/>
              <w:spacing w:line="360" w:lineRule="auto"/>
              <w:jc w:val="center"/>
              <w:rPr>
                <w:sz w:val="28"/>
                <w:szCs w:val="28"/>
                <w:lang w:val="en-US"/>
              </w:rPr>
            </w:pPr>
            <w:r w:rsidRPr="00E5479E">
              <w:rPr>
                <w:sz w:val="28"/>
                <w:szCs w:val="28"/>
                <w:lang w:val="en-US"/>
              </w:rPr>
              <w:t>-</w:t>
            </w:r>
          </w:p>
        </w:tc>
        <w:tc>
          <w:tcPr>
            <w:tcW w:w="6609" w:type="dxa"/>
          </w:tcPr>
          <w:p w:rsidR="0019442B" w:rsidRPr="00E5479E" w:rsidRDefault="0019442B" w:rsidP="00BC27C3">
            <w:pPr>
              <w:pStyle w:val="affffffffb"/>
              <w:spacing w:line="360" w:lineRule="auto"/>
              <w:jc w:val="both"/>
              <w:rPr>
                <w:sz w:val="28"/>
              </w:rPr>
            </w:pPr>
            <w:r w:rsidRPr="00E5479E">
              <w:rPr>
                <w:sz w:val="28"/>
              </w:rPr>
              <w:t>иммуноглобулин</w:t>
            </w:r>
          </w:p>
        </w:tc>
      </w:tr>
    </w:tbl>
    <w:p w:rsidR="0019442B" w:rsidRPr="00E5479E" w:rsidRDefault="0019442B" w:rsidP="0019442B">
      <w:pPr>
        <w:pStyle w:val="affffffffb"/>
        <w:spacing w:line="360" w:lineRule="auto"/>
      </w:pPr>
    </w:p>
    <w:p w:rsidR="0019442B" w:rsidRPr="00E5479E" w:rsidRDefault="0019442B" w:rsidP="0019442B">
      <w:pPr>
        <w:jc w:val="center"/>
        <w:rPr>
          <w:b/>
          <w:sz w:val="28"/>
          <w:szCs w:val="28"/>
        </w:rPr>
      </w:pPr>
      <w:r>
        <w:rPr>
          <w:b/>
          <w:sz w:val="28"/>
          <w:szCs w:val="28"/>
        </w:rPr>
        <w:br w:type="page"/>
      </w:r>
      <w:r w:rsidRPr="00E5479E">
        <w:rPr>
          <w:b/>
          <w:sz w:val="28"/>
          <w:szCs w:val="28"/>
        </w:rPr>
        <w:lastRenderedPageBreak/>
        <w:t>ВВЕДЕНИЕ</w:t>
      </w:r>
    </w:p>
    <w:p w:rsidR="0019442B" w:rsidRPr="00E5479E" w:rsidRDefault="0019442B" w:rsidP="0019442B">
      <w:pPr>
        <w:rPr>
          <w:sz w:val="28"/>
          <w:szCs w:val="28"/>
        </w:rPr>
      </w:pPr>
    </w:p>
    <w:p w:rsidR="0019442B" w:rsidRPr="00E5479E" w:rsidRDefault="0019442B" w:rsidP="0019442B">
      <w:pPr>
        <w:rPr>
          <w:sz w:val="28"/>
          <w:szCs w:val="28"/>
        </w:rPr>
      </w:pPr>
    </w:p>
    <w:p w:rsidR="0019442B" w:rsidRPr="00E5479E" w:rsidRDefault="0019442B" w:rsidP="0019442B">
      <w:pPr>
        <w:rPr>
          <w:sz w:val="28"/>
          <w:szCs w:val="28"/>
        </w:rPr>
      </w:pPr>
    </w:p>
    <w:p w:rsidR="0019442B" w:rsidRPr="00E5479E" w:rsidRDefault="0019442B" w:rsidP="0019442B">
      <w:pPr>
        <w:spacing w:line="360" w:lineRule="auto"/>
        <w:ind w:firstLine="709"/>
        <w:jc w:val="both"/>
        <w:rPr>
          <w:sz w:val="28"/>
          <w:szCs w:val="28"/>
        </w:rPr>
      </w:pPr>
      <w:r w:rsidRPr="00E5479E">
        <w:rPr>
          <w:bCs/>
          <w:sz w:val="28"/>
          <w:szCs w:val="28"/>
        </w:rPr>
        <w:t>Актуальность темы.</w:t>
      </w:r>
      <w:r w:rsidRPr="00E5479E">
        <w:rPr>
          <w:sz w:val="28"/>
          <w:szCs w:val="28"/>
        </w:rPr>
        <w:t xml:space="preserve"> Заболевания периодонта – одна из наиболее сло</w:t>
      </w:r>
      <w:r w:rsidRPr="00E5479E">
        <w:rPr>
          <w:sz w:val="28"/>
          <w:szCs w:val="28"/>
        </w:rPr>
        <w:t>ж</w:t>
      </w:r>
      <w:r w:rsidRPr="00E5479E">
        <w:rPr>
          <w:sz w:val="28"/>
          <w:szCs w:val="28"/>
        </w:rPr>
        <w:t>ных патологий зубочелюстно-лицевой системы. Сегодня они представляют собой не только общемедицинскую, но и социальную проблему, характер</w:t>
      </w:r>
      <w:r w:rsidRPr="00E5479E">
        <w:rPr>
          <w:sz w:val="28"/>
          <w:szCs w:val="28"/>
        </w:rPr>
        <w:t>и</w:t>
      </w:r>
      <w:r w:rsidRPr="00E5479E">
        <w:rPr>
          <w:sz w:val="28"/>
          <w:szCs w:val="28"/>
        </w:rPr>
        <w:t>зуясь значительной распространённостью во всём мире, большой потерей з</w:t>
      </w:r>
      <w:r w:rsidRPr="00E5479E">
        <w:rPr>
          <w:sz w:val="28"/>
          <w:szCs w:val="28"/>
        </w:rPr>
        <w:t>у</w:t>
      </w:r>
      <w:r w:rsidRPr="00E5479E">
        <w:rPr>
          <w:sz w:val="28"/>
          <w:szCs w:val="28"/>
        </w:rPr>
        <w:t>бов у пациентов с неблагоприятным влиянием очагов периодонтальной и</w:t>
      </w:r>
      <w:r w:rsidRPr="00E5479E">
        <w:rPr>
          <w:sz w:val="28"/>
          <w:szCs w:val="28"/>
        </w:rPr>
        <w:t>н</w:t>
      </w:r>
      <w:r w:rsidRPr="00E5479E">
        <w:rPr>
          <w:sz w:val="28"/>
          <w:szCs w:val="28"/>
        </w:rPr>
        <w:t>фекции на организм в целом. По данным Всемирной организации здрав</w:t>
      </w:r>
      <w:r w:rsidRPr="00E5479E">
        <w:rPr>
          <w:sz w:val="28"/>
          <w:szCs w:val="28"/>
        </w:rPr>
        <w:t>о</w:t>
      </w:r>
      <w:r w:rsidRPr="00E5479E">
        <w:rPr>
          <w:sz w:val="28"/>
          <w:szCs w:val="28"/>
        </w:rPr>
        <w:t>охранения, функциональные расстройства зубочелюстной системы, обусло</w:t>
      </w:r>
      <w:r w:rsidRPr="00E5479E">
        <w:rPr>
          <w:sz w:val="28"/>
          <w:szCs w:val="28"/>
        </w:rPr>
        <w:t>в</w:t>
      </w:r>
      <w:r w:rsidRPr="00E5479E">
        <w:rPr>
          <w:sz w:val="28"/>
          <w:szCs w:val="28"/>
        </w:rPr>
        <w:t>ленные потерей зубов вследствие заб</w:t>
      </w:r>
      <w:r w:rsidRPr="00E5479E">
        <w:rPr>
          <w:sz w:val="28"/>
          <w:szCs w:val="28"/>
        </w:rPr>
        <w:t>о</w:t>
      </w:r>
      <w:r w:rsidRPr="00E5479E">
        <w:rPr>
          <w:sz w:val="28"/>
          <w:szCs w:val="28"/>
        </w:rPr>
        <w:t xml:space="preserve">леваний периодонта, развиваются в 5-6 раз чаще, чем при осложнениях кариеса </w:t>
      </w:r>
      <w:r w:rsidRPr="004C69CB">
        <w:rPr>
          <w:sz w:val="28"/>
          <w:szCs w:val="28"/>
        </w:rPr>
        <w:t>[10]</w:t>
      </w:r>
      <w:r w:rsidRPr="00E5479E">
        <w:rPr>
          <w:sz w:val="28"/>
          <w:szCs w:val="28"/>
        </w:rPr>
        <w:t>.</w:t>
      </w:r>
    </w:p>
    <w:p w:rsidR="0019442B" w:rsidRPr="00E5479E" w:rsidRDefault="0019442B" w:rsidP="0019442B">
      <w:pPr>
        <w:spacing w:line="360" w:lineRule="auto"/>
        <w:ind w:firstLine="709"/>
        <w:jc w:val="both"/>
        <w:rPr>
          <w:sz w:val="28"/>
          <w:szCs w:val="28"/>
        </w:rPr>
      </w:pPr>
      <w:r w:rsidRPr="00E5479E">
        <w:rPr>
          <w:sz w:val="28"/>
          <w:szCs w:val="28"/>
        </w:rPr>
        <w:t>По данным мировой литературы, распространённость воспал</w:t>
      </w:r>
      <w:r w:rsidRPr="00E5479E">
        <w:rPr>
          <w:sz w:val="28"/>
          <w:szCs w:val="28"/>
        </w:rPr>
        <w:t>и</w:t>
      </w:r>
      <w:r w:rsidRPr="00E5479E">
        <w:rPr>
          <w:sz w:val="28"/>
          <w:szCs w:val="28"/>
        </w:rPr>
        <w:t>тельных заболеваний периодонта достигает 98 %, среди них ведущую роль играет хронический периодонтит</w:t>
      </w:r>
      <w:r w:rsidRPr="004C69CB">
        <w:rPr>
          <w:sz w:val="28"/>
          <w:szCs w:val="28"/>
        </w:rPr>
        <w:t xml:space="preserve"> [38, 107, 116]</w:t>
      </w:r>
      <w:r w:rsidRPr="00E5479E">
        <w:rPr>
          <w:sz w:val="28"/>
          <w:szCs w:val="28"/>
        </w:rPr>
        <w:t xml:space="preserve">. </w:t>
      </w:r>
    </w:p>
    <w:p w:rsidR="0019442B" w:rsidRPr="00E5479E" w:rsidRDefault="0019442B" w:rsidP="0019442B">
      <w:pPr>
        <w:spacing w:line="360" w:lineRule="auto"/>
        <w:ind w:firstLine="709"/>
        <w:jc w:val="both"/>
        <w:rPr>
          <w:sz w:val="28"/>
          <w:szCs w:val="28"/>
        </w:rPr>
      </w:pPr>
      <w:r w:rsidRPr="00E5479E">
        <w:rPr>
          <w:sz w:val="28"/>
          <w:szCs w:val="28"/>
        </w:rPr>
        <w:t>Воспалительный процесс в периодонте не только ведет к поражению околоверхушечных тканей зуба и причиняет страдание больному, но и оп</w:t>
      </w:r>
      <w:r w:rsidRPr="00E5479E">
        <w:rPr>
          <w:sz w:val="28"/>
          <w:szCs w:val="28"/>
        </w:rPr>
        <w:t>а</w:t>
      </w:r>
      <w:r w:rsidRPr="00E5479E">
        <w:rPr>
          <w:sz w:val="28"/>
          <w:szCs w:val="28"/>
        </w:rPr>
        <w:t>сен еще и формированием условий для явных и скрытых воспалительных очагов, способствующих сенсибилизации организма. В воспалённых окол</w:t>
      </w:r>
      <w:r w:rsidRPr="00E5479E">
        <w:rPr>
          <w:sz w:val="28"/>
          <w:szCs w:val="28"/>
        </w:rPr>
        <w:t>о</w:t>
      </w:r>
      <w:r w:rsidRPr="00E5479E">
        <w:rPr>
          <w:sz w:val="28"/>
          <w:szCs w:val="28"/>
        </w:rPr>
        <w:t xml:space="preserve">верхушечных тканях обнаружены, наряду с другими клетками макрофаги, </w:t>
      </w:r>
      <w:proofErr w:type="gramStart"/>
      <w:r w:rsidRPr="00E5479E">
        <w:rPr>
          <w:sz w:val="28"/>
          <w:szCs w:val="28"/>
        </w:rPr>
        <w:t>Т-</w:t>
      </w:r>
      <w:proofErr w:type="gramEnd"/>
      <w:r w:rsidRPr="00E5479E">
        <w:rPr>
          <w:sz w:val="28"/>
          <w:szCs w:val="28"/>
        </w:rPr>
        <w:t xml:space="preserve"> и В-лимфоциты, лаброциты. Присутствие в очаге хронического воспаления перечисленных клеточных элементов рассматривают как подтверждение п</w:t>
      </w:r>
      <w:r w:rsidRPr="00E5479E">
        <w:rPr>
          <w:sz w:val="28"/>
          <w:szCs w:val="28"/>
        </w:rPr>
        <w:t>о</w:t>
      </w:r>
      <w:r w:rsidRPr="00E5479E">
        <w:rPr>
          <w:sz w:val="28"/>
          <w:szCs w:val="28"/>
        </w:rPr>
        <w:t>стоянного поступления антигенов из системы корн</w:t>
      </w:r>
      <w:r w:rsidRPr="00E5479E">
        <w:rPr>
          <w:sz w:val="28"/>
          <w:szCs w:val="28"/>
        </w:rPr>
        <w:t>е</w:t>
      </w:r>
      <w:r w:rsidRPr="00E5479E">
        <w:rPr>
          <w:sz w:val="28"/>
          <w:szCs w:val="28"/>
        </w:rPr>
        <w:t>вых каналов. У больных хроническим периодонтитом выявлена тенденция к увеличению уровня с</w:t>
      </w:r>
      <w:r w:rsidRPr="00E5479E">
        <w:rPr>
          <w:sz w:val="28"/>
          <w:szCs w:val="28"/>
        </w:rPr>
        <w:t>ы</w:t>
      </w:r>
      <w:r w:rsidRPr="00E5479E">
        <w:rPr>
          <w:sz w:val="28"/>
          <w:szCs w:val="28"/>
        </w:rPr>
        <w:t>вороточных иммуноглоб</w:t>
      </w:r>
      <w:r w:rsidRPr="00E5479E">
        <w:rPr>
          <w:sz w:val="28"/>
          <w:szCs w:val="28"/>
        </w:rPr>
        <w:t>у</w:t>
      </w:r>
      <w:r w:rsidRPr="00E5479E">
        <w:rPr>
          <w:sz w:val="28"/>
          <w:szCs w:val="28"/>
        </w:rPr>
        <w:t xml:space="preserve">линов A и </w:t>
      </w:r>
      <w:r w:rsidRPr="00E5479E">
        <w:rPr>
          <w:sz w:val="28"/>
          <w:szCs w:val="28"/>
          <w:lang w:val="en-US"/>
        </w:rPr>
        <w:t>G</w:t>
      </w:r>
      <w:r w:rsidRPr="004C69CB">
        <w:rPr>
          <w:sz w:val="28"/>
          <w:szCs w:val="28"/>
        </w:rPr>
        <w:t xml:space="preserve"> [22, 144]</w:t>
      </w:r>
      <w:r w:rsidRPr="00E5479E">
        <w:rPr>
          <w:sz w:val="28"/>
          <w:szCs w:val="28"/>
        </w:rPr>
        <w:t>. В свете современных данных о патогенезе хронического периодонтита средства для его лечения должны включать как можно больше патогенетических звеньев</w:t>
      </w:r>
      <w:r w:rsidRPr="004C69CB">
        <w:rPr>
          <w:sz w:val="28"/>
          <w:szCs w:val="28"/>
        </w:rPr>
        <w:t xml:space="preserve"> [</w:t>
      </w:r>
      <w:r w:rsidRPr="00E5479E">
        <w:rPr>
          <w:sz w:val="28"/>
          <w:szCs w:val="28"/>
        </w:rPr>
        <w:t xml:space="preserve">32, </w:t>
      </w:r>
      <w:r w:rsidRPr="004C69CB">
        <w:rPr>
          <w:sz w:val="28"/>
          <w:szCs w:val="28"/>
        </w:rPr>
        <w:t>115, 127, 128]</w:t>
      </w:r>
      <w:r w:rsidRPr="00E5479E">
        <w:rPr>
          <w:sz w:val="28"/>
          <w:szCs w:val="28"/>
        </w:rPr>
        <w:t xml:space="preserve">. </w:t>
      </w:r>
    </w:p>
    <w:p w:rsidR="0019442B" w:rsidRPr="00E5479E" w:rsidRDefault="0019442B" w:rsidP="0019442B">
      <w:pPr>
        <w:spacing w:line="360" w:lineRule="auto"/>
        <w:ind w:firstLine="709"/>
        <w:jc w:val="both"/>
        <w:rPr>
          <w:sz w:val="28"/>
          <w:szCs w:val="28"/>
        </w:rPr>
      </w:pPr>
      <w:r w:rsidRPr="00E5479E">
        <w:rPr>
          <w:sz w:val="28"/>
          <w:szCs w:val="28"/>
        </w:rPr>
        <w:t>Современные данные о роли облигатно анаэробных бактерий окол</w:t>
      </w:r>
      <w:r w:rsidRPr="00E5479E">
        <w:rPr>
          <w:sz w:val="28"/>
          <w:szCs w:val="28"/>
        </w:rPr>
        <w:t>о</w:t>
      </w:r>
      <w:r w:rsidRPr="00E5479E">
        <w:rPr>
          <w:sz w:val="28"/>
          <w:szCs w:val="28"/>
        </w:rPr>
        <w:t>верхушечных тканей в развитии воспалительного процесса в периодонте определяют необходимость поиска эффективных сре</w:t>
      </w:r>
      <w:proofErr w:type="gramStart"/>
      <w:r w:rsidRPr="00E5479E">
        <w:rPr>
          <w:sz w:val="28"/>
          <w:szCs w:val="28"/>
        </w:rPr>
        <w:t>дств дл</w:t>
      </w:r>
      <w:proofErr w:type="gramEnd"/>
      <w:r w:rsidRPr="00E5479E">
        <w:rPr>
          <w:sz w:val="28"/>
          <w:szCs w:val="28"/>
        </w:rPr>
        <w:t>я проведения местной антибиотикотерапии в комплексном лечении заболев</w:t>
      </w:r>
      <w:r w:rsidRPr="00E5479E">
        <w:rPr>
          <w:sz w:val="28"/>
          <w:szCs w:val="28"/>
        </w:rPr>
        <w:t>а</w:t>
      </w:r>
      <w:r w:rsidRPr="00E5479E">
        <w:rPr>
          <w:sz w:val="28"/>
          <w:szCs w:val="28"/>
        </w:rPr>
        <w:t>ния</w:t>
      </w:r>
      <w:r w:rsidRPr="004C69CB">
        <w:rPr>
          <w:sz w:val="28"/>
          <w:szCs w:val="28"/>
        </w:rPr>
        <w:t xml:space="preserve"> [23, 145]</w:t>
      </w:r>
      <w:r w:rsidRPr="00E5479E">
        <w:rPr>
          <w:sz w:val="28"/>
          <w:szCs w:val="28"/>
        </w:rPr>
        <w:t xml:space="preserve">. Хотя в </w:t>
      </w:r>
      <w:r w:rsidRPr="00E5479E">
        <w:rPr>
          <w:sz w:val="28"/>
          <w:szCs w:val="28"/>
        </w:rPr>
        <w:lastRenderedPageBreak/>
        <w:t>последние годы в терапии различных форм периодонтита достигнуты значительные успехи, существующие методы лечения несовершенны, часто сопровождаются тяжелыми осложнениями в виде острых воспалительных процессов челюстно-лицевой области (периостит, абсцесс, остеомиелит и т.д.). Традиционные терапевтические методы лечения хронического пери</w:t>
      </w:r>
      <w:r w:rsidRPr="00E5479E">
        <w:rPr>
          <w:sz w:val="28"/>
          <w:szCs w:val="28"/>
        </w:rPr>
        <w:t>о</w:t>
      </w:r>
      <w:r w:rsidRPr="00E5479E">
        <w:rPr>
          <w:sz w:val="28"/>
          <w:szCs w:val="28"/>
        </w:rPr>
        <w:t>донтита в ряде случаев являются неэффективными и не дают достаточно длительной ремиссии [</w:t>
      </w:r>
      <w:r w:rsidRPr="004C69CB">
        <w:rPr>
          <w:sz w:val="28"/>
          <w:szCs w:val="28"/>
        </w:rPr>
        <w:t>7, 30</w:t>
      </w:r>
      <w:r w:rsidRPr="00E5479E">
        <w:rPr>
          <w:sz w:val="28"/>
          <w:szCs w:val="28"/>
        </w:rPr>
        <w:t>, 46]. В связи с этим в последние годы определе</w:t>
      </w:r>
      <w:r w:rsidRPr="00E5479E">
        <w:rPr>
          <w:sz w:val="28"/>
          <w:szCs w:val="28"/>
        </w:rPr>
        <w:t>н</w:t>
      </w:r>
      <w:r w:rsidRPr="00E5479E">
        <w:rPr>
          <w:sz w:val="28"/>
          <w:szCs w:val="28"/>
        </w:rPr>
        <w:t>ную актуальность приобретают исследования, направленные на изыскание способов лечения, действующих на различные патогенетические звенья хронического пери</w:t>
      </w:r>
      <w:r w:rsidRPr="00E5479E">
        <w:rPr>
          <w:sz w:val="28"/>
          <w:szCs w:val="28"/>
        </w:rPr>
        <w:t>о</w:t>
      </w:r>
      <w:r w:rsidRPr="00E5479E">
        <w:rPr>
          <w:sz w:val="28"/>
          <w:szCs w:val="28"/>
        </w:rPr>
        <w:t>донтита.</w:t>
      </w:r>
    </w:p>
    <w:p w:rsidR="0019442B" w:rsidRPr="00E5479E" w:rsidRDefault="0019442B" w:rsidP="0019442B">
      <w:pPr>
        <w:spacing w:line="360" w:lineRule="auto"/>
        <w:ind w:firstLine="709"/>
        <w:jc w:val="both"/>
        <w:rPr>
          <w:sz w:val="28"/>
          <w:szCs w:val="28"/>
        </w:rPr>
      </w:pPr>
      <w:r w:rsidRPr="00E5479E">
        <w:rPr>
          <w:bCs/>
          <w:sz w:val="28"/>
          <w:szCs w:val="28"/>
        </w:rPr>
        <w:t xml:space="preserve">Связь работы с научными программами, планами, темами. </w:t>
      </w:r>
      <w:r w:rsidRPr="00E5479E">
        <w:rPr>
          <w:sz w:val="28"/>
          <w:szCs w:val="28"/>
        </w:rPr>
        <w:t>Ди</w:t>
      </w:r>
      <w:r w:rsidRPr="00E5479E">
        <w:rPr>
          <w:sz w:val="28"/>
          <w:szCs w:val="28"/>
        </w:rPr>
        <w:t>с</w:t>
      </w:r>
      <w:r w:rsidRPr="00E5479E">
        <w:rPr>
          <w:sz w:val="28"/>
          <w:szCs w:val="28"/>
        </w:rPr>
        <w:t xml:space="preserve">сертация является фрагментом плановой научной работы кафедры патофизиологии Луганского государственного медицинского университета </w:t>
      </w:r>
      <w:r w:rsidRPr="00E5479E">
        <w:rPr>
          <w:spacing w:val="2"/>
          <w:sz w:val="28"/>
        </w:rPr>
        <w:t>«Воспаление как результат действия бактерий» (номер государственной регистрации 0198U005713)</w:t>
      </w:r>
      <w:r w:rsidRPr="00E5479E">
        <w:rPr>
          <w:sz w:val="28"/>
          <w:szCs w:val="28"/>
        </w:rPr>
        <w:t>. Автор является соисполнителем ко</w:t>
      </w:r>
      <w:r w:rsidRPr="00E5479E">
        <w:rPr>
          <w:sz w:val="28"/>
          <w:szCs w:val="28"/>
        </w:rPr>
        <w:t>м</w:t>
      </w:r>
      <w:r w:rsidRPr="00E5479E">
        <w:rPr>
          <w:sz w:val="28"/>
          <w:szCs w:val="28"/>
        </w:rPr>
        <w:t>плексной темы.</w:t>
      </w:r>
    </w:p>
    <w:p w:rsidR="0019442B" w:rsidRPr="00E5479E" w:rsidRDefault="0019442B" w:rsidP="0019442B">
      <w:pPr>
        <w:spacing w:line="360" w:lineRule="auto"/>
        <w:ind w:firstLine="709"/>
        <w:jc w:val="both"/>
        <w:rPr>
          <w:sz w:val="28"/>
          <w:szCs w:val="28"/>
        </w:rPr>
      </w:pPr>
      <w:r w:rsidRPr="00E5479E">
        <w:rPr>
          <w:sz w:val="28"/>
          <w:szCs w:val="28"/>
        </w:rPr>
        <w:t>Цель работы – разработать патогенетически обоснованный способ л</w:t>
      </w:r>
      <w:r w:rsidRPr="00E5479E">
        <w:rPr>
          <w:sz w:val="28"/>
          <w:szCs w:val="28"/>
        </w:rPr>
        <w:t>е</w:t>
      </w:r>
      <w:r w:rsidRPr="00E5479E">
        <w:rPr>
          <w:sz w:val="28"/>
          <w:szCs w:val="28"/>
        </w:rPr>
        <w:t>чения и профилактики обострений хронического периодонтита с использов</w:t>
      </w:r>
      <w:r w:rsidRPr="00E5479E">
        <w:rPr>
          <w:sz w:val="28"/>
          <w:szCs w:val="28"/>
        </w:rPr>
        <w:t>а</w:t>
      </w:r>
      <w:r w:rsidRPr="00E5479E">
        <w:rPr>
          <w:sz w:val="28"/>
          <w:szCs w:val="28"/>
        </w:rPr>
        <w:t>нием композиции для временного пломбирования корневых каналов, соде</w:t>
      </w:r>
      <w:r w:rsidRPr="00E5479E">
        <w:rPr>
          <w:sz w:val="28"/>
          <w:szCs w:val="28"/>
        </w:rPr>
        <w:t>р</w:t>
      </w:r>
      <w:r w:rsidRPr="00E5479E">
        <w:rPr>
          <w:sz w:val="28"/>
          <w:szCs w:val="28"/>
        </w:rPr>
        <w:t>жащей антиоксидант и антибактериальный химиопреп</w:t>
      </w:r>
      <w:r w:rsidRPr="00E5479E">
        <w:rPr>
          <w:sz w:val="28"/>
          <w:szCs w:val="28"/>
        </w:rPr>
        <w:t>а</w:t>
      </w:r>
      <w:r w:rsidRPr="00E5479E">
        <w:rPr>
          <w:sz w:val="28"/>
          <w:szCs w:val="28"/>
        </w:rPr>
        <w:t>рат.</w:t>
      </w:r>
    </w:p>
    <w:p w:rsidR="0019442B" w:rsidRPr="00E5479E" w:rsidRDefault="0019442B" w:rsidP="0019442B">
      <w:pPr>
        <w:spacing w:line="360" w:lineRule="auto"/>
        <w:ind w:firstLine="709"/>
        <w:jc w:val="both"/>
        <w:rPr>
          <w:sz w:val="28"/>
          <w:szCs w:val="28"/>
        </w:rPr>
      </w:pPr>
      <w:r w:rsidRPr="00E5479E">
        <w:rPr>
          <w:sz w:val="28"/>
          <w:szCs w:val="28"/>
        </w:rPr>
        <w:t>Для достижения цели были поставлены следующие задачи:</w:t>
      </w:r>
    </w:p>
    <w:p w:rsidR="0019442B" w:rsidRPr="00E5479E" w:rsidRDefault="0019442B" w:rsidP="0019442B">
      <w:pPr>
        <w:spacing w:line="360" w:lineRule="auto"/>
        <w:jc w:val="both"/>
        <w:rPr>
          <w:sz w:val="28"/>
          <w:szCs w:val="28"/>
        </w:rPr>
      </w:pPr>
      <w:r w:rsidRPr="00E5479E">
        <w:rPr>
          <w:sz w:val="28"/>
          <w:szCs w:val="28"/>
        </w:rPr>
        <w:t>У больных хроническим периодонтитом:</w:t>
      </w:r>
    </w:p>
    <w:p w:rsidR="0019442B" w:rsidRPr="00E5479E" w:rsidRDefault="0019442B" w:rsidP="00DA0CD3">
      <w:pPr>
        <w:numPr>
          <w:ilvl w:val="0"/>
          <w:numId w:val="67"/>
        </w:numPr>
        <w:suppressAutoHyphens w:val="0"/>
        <w:spacing w:line="360" w:lineRule="auto"/>
        <w:jc w:val="both"/>
        <w:rPr>
          <w:sz w:val="28"/>
          <w:szCs w:val="28"/>
        </w:rPr>
      </w:pPr>
      <w:r w:rsidRPr="00E5479E">
        <w:rPr>
          <w:sz w:val="28"/>
          <w:szCs w:val="28"/>
        </w:rPr>
        <w:t>Изучить видовой состав, иммуносупрессивные свойства и чувствител</w:t>
      </w:r>
      <w:r w:rsidRPr="00E5479E">
        <w:rPr>
          <w:sz w:val="28"/>
          <w:szCs w:val="28"/>
        </w:rPr>
        <w:t>ь</w:t>
      </w:r>
      <w:r w:rsidRPr="00E5479E">
        <w:rPr>
          <w:sz w:val="28"/>
          <w:szCs w:val="28"/>
        </w:rPr>
        <w:t>ность к антибактериальным препаратам этиологических агентов хроническ</w:t>
      </w:r>
      <w:r w:rsidRPr="00E5479E">
        <w:rPr>
          <w:sz w:val="28"/>
          <w:szCs w:val="28"/>
        </w:rPr>
        <w:t>о</w:t>
      </w:r>
      <w:r w:rsidRPr="00E5479E">
        <w:rPr>
          <w:sz w:val="28"/>
          <w:szCs w:val="28"/>
        </w:rPr>
        <w:t>го периодонтита.</w:t>
      </w:r>
    </w:p>
    <w:p w:rsidR="0019442B" w:rsidRPr="00E5479E" w:rsidRDefault="0019442B" w:rsidP="00DA0CD3">
      <w:pPr>
        <w:numPr>
          <w:ilvl w:val="0"/>
          <w:numId w:val="67"/>
        </w:numPr>
        <w:suppressAutoHyphens w:val="0"/>
        <w:spacing w:line="360" w:lineRule="auto"/>
        <w:jc w:val="both"/>
        <w:rPr>
          <w:sz w:val="28"/>
          <w:szCs w:val="28"/>
        </w:rPr>
      </w:pPr>
      <w:r w:rsidRPr="00E5479E">
        <w:rPr>
          <w:sz w:val="28"/>
          <w:szCs w:val="28"/>
        </w:rPr>
        <w:t>Изучить иммунный статус.</w:t>
      </w:r>
    </w:p>
    <w:p w:rsidR="0019442B" w:rsidRPr="00E5479E" w:rsidRDefault="0019442B" w:rsidP="00DA0CD3">
      <w:pPr>
        <w:numPr>
          <w:ilvl w:val="0"/>
          <w:numId w:val="67"/>
        </w:numPr>
        <w:suppressAutoHyphens w:val="0"/>
        <w:spacing w:line="360" w:lineRule="auto"/>
        <w:jc w:val="both"/>
        <w:rPr>
          <w:sz w:val="28"/>
          <w:szCs w:val="28"/>
        </w:rPr>
      </w:pPr>
      <w:r w:rsidRPr="00E5479E">
        <w:rPr>
          <w:sz w:val="28"/>
          <w:szCs w:val="28"/>
        </w:rPr>
        <w:t>Изучить активность перекисного окисления липидов (ПОЛ) и фермент</w:t>
      </w:r>
      <w:r w:rsidRPr="00E5479E">
        <w:rPr>
          <w:sz w:val="28"/>
          <w:szCs w:val="28"/>
        </w:rPr>
        <w:t>а</w:t>
      </w:r>
      <w:r w:rsidRPr="00E5479E">
        <w:rPr>
          <w:sz w:val="28"/>
          <w:szCs w:val="28"/>
        </w:rPr>
        <w:t xml:space="preserve">тивной системы антиоксидантной защиты (АОЗ), а также влияние на них структурных компонентов этиологических агентов хронического периодонтита в опыте с нейтрофилами и моноцитами </w:t>
      </w:r>
      <w:r w:rsidRPr="00E5479E">
        <w:rPr>
          <w:sz w:val="28"/>
          <w:szCs w:val="28"/>
          <w:lang w:val="uk-UA"/>
        </w:rPr>
        <w:t>і</w:t>
      </w:r>
      <w:r w:rsidRPr="00E5479E">
        <w:rPr>
          <w:sz w:val="28"/>
          <w:szCs w:val="28"/>
          <w:lang w:val="en-US"/>
        </w:rPr>
        <w:t>n</w:t>
      </w:r>
      <w:r w:rsidRPr="0019442B">
        <w:rPr>
          <w:sz w:val="28"/>
          <w:szCs w:val="28"/>
        </w:rPr>
        <w:t xml:space="preserve"> </w:t>
      </w:r>
      <w:r w:rsidRPr="00E5479E">
        <w:rPr>
          <w:sz w:val="28"/>
          <w:szCs w:val="28"/>
          <w:lang w:val="en-US"/>
        </w:rPr>
        <w:t>v</w:t>
      </w:r>
      <w:r w:rsidRPr="00E5479E">
        <w:rPr>
          <w:sz w:val="28"/>
          <w:szCs w:val="28"/>
          <w:lang w:val="en-US"/>
        </w:rPr>
        <w:t>i</w:t>
      </w:r>
      <w:r w:rsidRPr="00E5479E">
        <w:rPr>
          <w:sz w:val="28"/>
          <w:szCs w:val="28"/>
          <w:lang w:val="en-US"/>
        </w:rPr>
        <w:t>tro</w:t>
      </w:r>
      <w:r w:rsidRPr="00E5479E">
        <w:rPr>
          <w:sz w:val="28"/>
          <w:szCs w:val="28"/>
        </w:rPr>
        <w:t>.</w:t>
      </w:r>
    </w:p>
    <w:p w:rsidR="0019442B" w:rsidRPr="00E5479E" w:rsidRDefault="0019442B" w:rsidP="00DA0CD3">
      <w:pPr>
        <w:numPr>
          <w:ilvl w:val="0"/>
          <w:numId w:val="67"/>
        </w:numPr>
        <w:suppressAutoHyphens w:val="0"/>
        <w:spacing w:line="360" w:lineRule="auto"/>
        <w:jc w:val="both"/>
        <w:rPr>
          <w:sz w:val="28"/>
          <w:szCs w:val="28"/>
        </w:rPr>
      </w:pPr>
      <w:r w:rsidRPr="00E5479E">
        <w:rPr>
          <w:sz w:val="28"/>
          <w:szCs w:val="28"/>
        </w:rPr>
        <w:t>Определить эффективность трёхэтапного способа лечения с использов</w:t>
      </w:r>
      <w:r w:rsidRPr="00E5479E">
        <w:rPr>
          <w:sz w:val="28"/>
          <w:szCs w:val="28"/>
        </w:rPr>
        <w:t>а</w:t>
      </w:r>
      <w:r w:rsidRPr="00E5479E">
        <w:rPr>
          <w:sz w:val="28"/>
          <w:szCs w:val="28"/>
        </w:rPr>
        <w:t>нием композиции для временного пломбирования корневых каналов, с</w:t>
      </w:r>
      <w:r w:rsidRPr="00E5479E">
        <w:rPr>
          <w:sz w:val="28"/>
          <w:szCs w:val="28"/>
        </w:rPr>
        <w:t>о</w:t>
      </w:r>
      <w:r w:rsidRPr="00E5479E">
        <w:rPr>
          <w:sz w:val="28"/>
          <w:szCs w:val="28"/>
        </w:rPr>
        <w:t xml:space="preserve">держащей </w:t>
      </w:r>
      <w:r w:rsidRPr="00E5479E">
        <w:rPr>
          <w:sz w:val="28"/>
          <w:szCs w:val="28"/>
        </w:rPr>
        <w:lastRenderedPageBreak/>
        <w:t>витамин</w:t>
      </w:r>
      <w:proofErr w:type="gramStart"/>
      <w:r w:rsidRPr="00E5479E">
        <w:rPr>
          <w:sz w:val="28"/>
          <w:szCs w:val="28"/>
        </w:rPr>
        <w:t xml:space="preserve"> Е</w:t>
      </w:r>
      <w:proofErr w:type="gramEnd"/>
      <w:r w:rsidRPr="00E5479E">
        <w:rPr>
          <w:sz w:val="28"/>
          <w:szCs w:val="28"/>
        </w:rPr>
        <w:t>, метронидазол, бария сульфат и ультрадисперсный гидр</w:t>
      </w:r>
      <w:r w:rsidRPr="00E5479E">
        <w:rPr>
          <w:sz w:val="28"/>
          <w:szCs w:val="28"/>
        </w:rPr>
        <w:t>о</w:t>
      </w:r>
      <w:r w:rsidRPr="00E5479E">
        <w:rPr>
          <w:sz w:val="28"/>
          <w:szCs w:val="28"/>
        </w:rPr>
        <w:t>ксиапатит, легированный серебром.</w:t>
      </w:r>
    </w:p>
    <w:p w:rsidR="0019442B" w:rsidRPr="00E5479E" w:rsidRDefault="0019442B" w:rsidP="0019442B">
      <w:pPr>
        <w:spacing w:line="360" w:lineRule="auto"/>
        <w:ind w:firstLine="709"/>
        <w:jc w:val="both"/>
        <w:rPr>
          <w:sz w:val="28"/>
          <w:szCs w:val="28"/>
        </w:rPr>
      </w:pPr>
      <w:r w:rsidRPr="00E5479E">
        <w:rPr>
          <w:i/>
          <w:iCs/>
          <w:sz w:val="28"/>
          <w:szCs w:val="28"/>
        </w:rPr>
        <w:t>Объект исследования:</w:t>
      </w:r>
      <w:r w:rsidRPr="00E5479E">
        <w:rPr>
          <w:iCs/>
          <w:sz w:val="28"/>
          <w:szCs w:val="28"/>
        </w:rPr>
        <w:t xml:space="preserve"> бактериологический, иммунный и метаболич</w:t>
      </w:r>
      <w:r w:rsidRPr="00E5479E">
        <w:rPr>
          <w:iCs/>
          <w:sz w:val="28"/>
          <w:szCs w:val="28"/>
        </w:rPr>
        <w:t>е</w:t>
      </w:r>
      <w:r w:rsidRPr="00E5479E">
        <w:rPr>
          <w:iCs/>
          <w:sz w:val="28"/>
          <w:szCs w:val="28"/>
        </w:rPr>
        <w:t>ский статус пациентов с хроническим периодонтитом</w:t>
      </w:r>
      <w:r w:rsidRPr="00E5479E">
        <w:rPr>
          <w:sz w:val="28"/>
          <w:szCs w:val="28"/>
        </w:rPr>
        <w:t>.</w:t>
      </w:r>
    </w:p>
    <w:p w:rsidR="0019442B" w:rsidRPr="00E5479E" w:rsidRDefault="0019442B" w:rsidP="0019442B">
      <w:pPr>
        <w:widowControl w:val="0"/>
        <w:spacing w:line="360" w:lineRule="auto"/>
        <w:ind w:firstLine="709"/>
        <w:jc w:val="both"/>
        <w:rPr>
          <w:sz w:val="28"/>
          <w:szCs w:val="28"/>
        </w:rPr>
      </w:pPr>
      <w:r w:rsidRPr="00E5479E">
        <w:rPr>
          <w:i/>
          <w:iCs/>
          <w:sz w:val="28"/>
          <w:szCs w:val="28"/>
        </w:rPr>
        <w:t>Предмет исследования</w:t>
      </w:r>
      <w:r w:rsidRPr="00E5479E">
        <w:rPr>
          <w:iCs/>
          <w:sz w:val="28"/>
          <w:szCs w:val="28"/>
        </w:rPr>
        <w:t xml:space="preserve">: влияние </w:t>
      </w:r>
      <w:r w:rsidRPr="00E5479E">
        <w:rPr>
          <w:sz w:val="28"/>
          <w:szCs w:val="28"/>
        </w:rPr>
        <w:t>патогенетически обоснованного сп</w:t>
      </w:r>
      <w:r w:rsidRPr="00E5479E">
        <w:rPr>
          <w:sz w:val="28"/>
          <w:szCs w:val="28"/>
        </w:rPr>
        <w:t>о</w:t>
      </w:r>
      <w:r w:rsidRPr="00E5479E">
        <w:rPr>
          <w:sz w:val="28"/>
          <w:szCs w:val="28"/>
        </w:rPr>
        <w:t>соба лечения и профилактики обострений хронического периодонтита с использованием композиции для временного пломбирования корневых кан</w:t>
      </w:r>
      <w:r w:rsidRPr="00E5479E">
        <w:rPr>
          <w:sz w:val="28"/>
          <w:szCs w:val="28"/>
        </w:rPr>
        <w:t>а</w:t>
      </w:r>
      <w:r w:rsidRPr="00E5479E">
        <w:rPr>
          <w:sz w:val="28"/>
          <w:szCs w:val="28"/>
        </w:rPr>
        <w:t xml:space="preserve">лов, содержащей антиоксидант и антибактериальный химиопрепарат, на </w:t>
      </w:r>
      <w:r w:rsidRPr="00E5479E">
        <w:rPr>
          <w:iCs/>
          <w:sz w:val="28"/>
          <w:szCs w:val="28"/>
        </w:rPr>
        <w:t>ба</w:t>
      </w:r>
      <w:r w:rsidRPr="00E5479E">
        <w:rPr>
          <w:iCs/>
          <w:sz w:val="28"/>
          <w:szCs w:val="28"/>
        </w:rPr>
        <w:t>к</w:t>
      </w:r>
      <w:r w:rsidRPr="00E5479E">
        <w:rPr>
          <w:iCs/>
          <w:sz w:val="28"/>
          <w:szCs w:val="28"/>
        </w:rPr>
        <w:t>териологический, иммунный и метаболический статус пациентов</w:t>
      </w:r>
      <w:r w:rsidRPr="00E5479E">
        <w:rPr>
          <w:sz w:val="28"/>
          <w:szCs w:val="28"/>
        </w:rPr>
        <w:t>.</w:t>
      </w:r>
    </w:p>
    <w:p w:rsidR="0019442B" w:rsidRPr="00E5479E" w:rsidRDefault="0019442B" w:rsidP="0019442B">
      <w:pPr>
        <w:spacing w:line="360" w:lineRule="auto"/>
        <w:ind w:firstLine="709"/>
        <w:jc w:val="both"/>
        <w:rPr>
          <w:iCs/>
          <w:sz w:val="28"/>
          <w:szCs w:val="28"/>
          <w:u w:val="single"/>
        </w:rPr>
      </w:pPr>
      <w:r w:rsidRPr="00E5479E">
        <w:rPr>
          <w:i/>
          <w:iCs/>
          <w:sz w:val="28"/>
          <w:szCs w:val="28"/>
        </w:rPr>
        <w:t>Методы исследования</w:t>
      </w:r>
      <w:r w:rsidRPr="00E5479E">
        <w:rPr>
          <w:iCs/>
          <w:sz w:val="28"/>
          <w:szCs w:val="28"/>
        </w:rPr>
        <w:t xml:space="preserve">: клинические (обследование пациентов, </w:t>
      </w:r>
      <w:r w:rsidRPr="00E5479E">
        <w:rPr>
          <w:sz w:val="28"/>
          <w:szCs w:val="28"/>
        </w:rPr>
        <w:t>рег</w:t>
      </w:r>
      <w:r w:rsidRPr="00E5479E">
        <w:rPr>
          <w:sz w:val="28"/>
          <w:szCs w:val="28"/>
        </w:rPr>
        <w:t>и</w:t>
      </w:r>
      <w:r w:rsidRPr="00E5479E">
        <w:rPr>
          <w:sz w:val="28"/>
          <w:szCs w:val="28"/>
        </w:rPr>
        <w:t>страция клинических индексов</w:t>
      </w:r>
      <w:r w:rsidRPr="00E5479E">
        <w:rPr>
          <w:iCs/>
          <w:sz w:val="28"/>
          <w:szCs w:val="28"/>
        </w:rPr>
        <w:t>), бактериологические (выделение и идент</w:t>
      </w:r>
      <w:r w:rsidRPr="00E5479E">
        <w:rPr>
          <w:iCs/>
          <w:sz w:val="28"/>
          <w:szCs w:val="28"/>
        </w:rPr>
        <w:t>и</w:t>
      </w:r>
      <w:r w:rsidRPr="00E5479E">
        <w:rPr>
          <w:iCs/>
          <w:sz w:val="28"/>
          <w:szCs w:val="28"/>
        </w:rPr>
        <w:t xml:space="preserve">фикация бактерий, </w:t>
      </w:r>
      <w:r w:rsidRPr="00E5479E">
        <w:rPr>
          <w:sz w:val="28"/>
          <w:szCs w:val="28"/>
        </w:rPr>
        <w:t>определение чувствительности бактерий к антибактер</w:t>
      </w:r>
      <w:r w:rsidRPr="00E5479E">
        <w:rPr>
          <w:sz w:val="28"/>
          <w:szCs w:val="28"/>
        </w:rPr>
        <w:t>и</w:t>
      </w:r>
      <w:r w:rsidRPr="00E5479E">
        <w:rPr>
          <w:sz w:val="28"/>
          <w:szCs w:val="28"/>
        </w:rPr>
        <w:t>альным препаратам, выделение пептидогликанов – ПГН и липополисахар</w:t>
      </w:r>
      <w:r w:rsidRPr="00E5479E">
        <w:rPr>
          <w:sz w:val="28"/>
          <w:szCs w:val="28"/>
        </w:rPr>
        <w:t>и</w:t>
      </w:r>
      <w:r w:rsidRPr="00E5479E">
        <w:rPr>
          <w:sz w:val="28"/>
          <w:szCs w:val="28"/>
        </w:rPr>
        <w:t>дов – ЛПС из клеточной стенки бактерий</w:t>
      </w:r>
      <w:r w:rsidRPr="00E5479E">
        <w:rPr>
          <w:iCs/>
          <w:sz w:val="28"/>
          <w:szCs w:val="28"/>
        </w:rPr>
        <w:t>); иммунологические (определение антикомплементарной – АКА, антилизоцимной – АЛА и антииммуноглоб</w:t>
      </w:r>
      <w:r w:rsidRPr="00E5479E">
        <w:rPr>
          <w:iCs/>
          <w:sz w:val="28"/>
          <w:szCs w:val="28"/>
        </w:rPr>
        <w:t>у</w:t>
      </w:r>
      <w:r w:rsidRPr="00E5479E">
        <w:rPr>
          <w:iCs/>
          <w:sz w:val="28"/>
          <w:szCs w:val="28"/>
        </w:rPr>
        <w:t>линовой – АИА активности бактерий, изучение п</w:t>
      </w:r>
      <w:r w:rsidRPr="00E5479E">
        <w:rPr>
          <w:sz w:val="28"/>
          <w:szCs w:val="28"/>
        </w:rPr>
        <w:t>опуляционного и субпоп</w:t>
      </w:r>
      <w:r w:rsidRPr="00E5479E">
        <w:rPr>
          <w:sz w:val="28"/>
          <w:szCs w:val="28"/>
        </w:rPr>
        <w:t>у</w:t>
      </w:r>
      <w:r w:rsidRPr="00E5479E">
        <w:rPr>
          <w:sz w:val="28"/>
          <w:szCs w:val="28"/>
        </w:rPr>
        <w:t xml:space="preserve">ляционного состава лимфоцитов, </w:t>
      </w:r>
      <w:r w:rsidRPr="00E5479E">
        <w:rPr>
          <w:color w:val="000000"/>
          <w:sz w:val="28"/>
          <w:szCs w:val="28"/>
        </w:rPr>
        <w:t>фагоцитарной активности нейтрофилов, соде</w:t>
      </w:r>
      <w:r w:rsidRPr="00E5479E">
        <w:rPr>
          <w:color w:val="000000"/>
          <w:sz w:val="28"/>
          <w:szCs w:val="28"/>
        </w:rPr>
        <w:t>р</w:t>
      </w:r>
      <w:r w:rsidRPr="00E5479E">
        <w:rPr>
          <w:color w:val="000000"/>
          <w:sz w:val="28"/>
          <w:szCs w:val="28"/>
        </w:rPr>
        <w:t xml:space="preserve">жания циркулирующих иммунных комплексов – ЦИК в сыворотке крови, </w:t>
      </w:r>
      <w:r w:rsidRPr="00E5479E">
        <w:rPr>
          <w:sz w:val="28"/>
        </w:rPr>
        <w:t>количественное определение им</w:t>
      </w:r>
      <w:r w:rsidRPr="00E5479E">
        <w:rPr>
          <w:color w:val="000000"/>
          <w:sz w:val="28"/>
        </w:rPr>
        <w:t>муноглобулинов, стимуляция моноцитов и нейтрофилов препаратами ПГН и ЛПС</w:t>
      </w:r>
      <w:r w:rsidRPr="00E5479E">
        <w:rPr>
          <w:iCs/>
          <w:sz w:val="28"/>
          <w:szCs w:val="28"/>
        </w:rPr>
        <w:t>); биохимические (определение ко</w:t>
      </w:r>
      <w:r w:rsidRPr="00E5479E">
        <w:rPr>
          <w:iCs/>
          <w:sz w:val="28"/>
          <w:szCs w:val="28"/>
        </w:rPr>
        <w:t>н</w:t>
      </w:r>
      <w:r w:rsidRPr="00E5479E">
        <w:rPr>
          <w:iCs/>
          <w:sz w:val="28"/>
          <w:szCs w:val="28"/>
        </w:rPr>
        <w:t>центраций диеновых конъюгатов – ДК, малонового диальдегида – МДА, пр</w:t>
      </w:r>
      <w:r w:rsidRPr="00E5479E">
        <w:rPr>
          <w:iCs/>
          <w:sz w:val="28"/>
          <w:szCs w:val="28"/>
        </w:rPr>
        <w:t>о</w:t>
      </w:r>
      <w:r w:rsidRPr="00E5479E">
        <w:rPr>
          <w:iCs/>
          <w:sz w:val="28"/>
          <w:szCs w:val="28"/>
        </w:rPr>
        <w:t>стагландина Е</w:t>
      </w:r>
      <w:proofErr w:type="gramStart"/>
      <w:r w:rsidRPr="00E5479E">
        <w:rPr>
          <w:iCs/>
          <w:sz w:val="28"/>
          <w:szCs w:val="28"/>
        </w:rPr>
        <w:t>2</w:t>
      </w:r>
      <w:proofErr w:type="gramEnd"/>
      <w:r w:rsidRPr="00E5479E">
        <w:rPr>
          <w:iCs/>
          <w:sz w:val="28"/>
          <w:szCs w:val="28"/>
        </w:rPr>
        <w:t xml:space="preserve"> – ПГЕ2, активности каталазы и супероксиддисмутазы – СОД); статистические (</w:t>
      </w:r>
      <w:r w:rsidRPr="00E5479E">
        <w:rPr>
          <w:snapToGrid w:val="0"/>
          <w:sz w:val="28"/>
          <w:szCs w:val="28"/>
        </w:rPr>
        <w:t>методы вариац</w:t>
      </w:r>
      <w:r w:rsidRPr="00E5479E">
        <w:rPr>
          <w:snapToGrid w:val="0"/>
          <w:sz w:val="28"/>
          <w:szCs w:val="28"/>
        </w:rPr>
        <w:t>и</w:t>
      </w:r>
      <w:r w:rsidRPr="00E5479E">
        <w:rPr>
          <w:snapToGrid w:val="0"/>
          <w:sz w:val="28"/>
          <w:szCs w:val="28"/>
        </w:rPr>
        <w:t>онной статистики</w:t>
      </w:r>
      <w:r w:rsidRPr="00E5479E">
        <w:rPr>
          <w:iCs/>
          <w:sz w:val="28"/>
          <w:szCs w:val="28"/>
        </w:rPr>
        <w:t>).</w:t>
      </w:r>
    </w:p>
    <w:p w:rsidR="0019442B" w:rsidRPr="00E5479E" w:rsidRDefault="0019442B" w:rsidP="0019442B">
      <w:pPr>
        <w:spacing w:line="360" w:lineRule="auto"/>
        <w:ind w:firstLine="709"/>
        <w:jc w:val="both"/>
        <w:rPr>
          <w:bCs/>
          <w:sz w:val="28"/>
          <w:szCs w:val="28"/>
        </w:rPr>
      </w:pPr>
      <w:r w:rsidRPr="00E5479E">
        <w:rPr>
          <w:bCs/>
          <w:sz w:val="28"/>
          <w:szCs w:val="28"/>
        </w:rPr>
        <w:t>Научная новизна полученных результатов. Доказана этиологическая роль 21 вида строго анаэробных бактерий в</w:t>
      </w:r>
      <w:r w:rsidRPr="00E5479E">
        <w:rPr>
          <w:sz w:val="28"/>
          <w:szCs w:val="28"/>
        </w:rPr>
        <w:t xml:space="preserve"> развитии хронического пери</w:t>
      </w:r>
      <w:r w:rsidRPr="00E5479E">
        <w:rPr>
          <w:sz w:val="28"/>
          <w:szCs w:val="28"/>
        </w:rPr>
        <w:t>о</w:t>
      </w:r>
      <w:r w:rsidRPr="00E5479E">
        <w:rPr>
          <w:sz w:val="28"/>
          <w:szCs w:val="28"/>
        </w:rPr>
        <w:t xml:space="preserve">донтита, </w:t>
      </w:r>
      <w:proofErr w:type="gramStart"/>
      <w:r w:rsidRPr="00E5479E">
        <w:rPr>
          <w:sz w:val="28"/>
          <w:szCs w:val="28"/>
        </w:rPr>
        <w:t>изучена их АЛА</w:t>
      </w:r>
      <w:proofErr w:type="gramEnd"/>
      <w:r w:rsidRPr="00E5479E">
        <w:rPr>
          <w:sz w:val="28"/>
          <w:szCs w:val="28"/>
        </w:rPr>
        <w:t>, АКА и АИА.</w:t>
      </w:r>
      <w:r w:rsidRPr="00E5479E">
        <w:rPr>
          <w:bCs/>
          <w:sz w:val="28"/>
          <w:szCs w:val="28"/>
        </w:rPr>
        <w:t xml:space="preserve"> Детально изучен иммунный и мет</w:t>
      </w:r>
      <w:r w:rsidRPr="00E5479E">
        <w:rPr>
          <w:bCs/>
          <w:sz w:val="28"/>
          <w:szCs w:val="28"/>
        </w:rPr>
        <w:t>а</w:t>
      </w:r>
      <w:r w:rsidRPr="00E5479E">
        <w:rPr>
          <w:bCs/>
          <w:sz w:val="28"/>
          <w:szCs w:val="28"/>
        </w:rPr>
        <w:t>болический статус пациентов с хроническим периодонтитом. Впервые пре</w:t>
      </w:r>
      <w:r w:rsidRPr="00E5479E">
        <w:rPr>
          <w:bCs/>
          <w:sz w:val="28"/>
          <w:szCs w:val="28"/>
        </w:rPr>
        <w:t>д</w:t>
      </w:r>
      <w:r w:rsidRPr="00E5479E">
        <w:rPr>
          <w:bCs/>
          <w:sz w:val="28"/>
          <w:szCs w:val="28"/>
        </w:rPr>
        <w:t>ложен т</w:t>
      </w:r>
      <w:r w:rsidRPr="00E5479E">
        <w:rPr>
          <w:sz w:val="28"/>
          <w:szCs w:val="28"/>
        </w:rPr>
        <w:t>рёхэтапный способ лечения больных хроническим периодонтитом с использованием композиции для временного пломбирования корневых кан</w:t>
      </w:r>
      <w:r w:rsidRPr="00E5479E">
        <w:rPr>
          <w:sz w:val="28"/>
          <w:szCs w:val="28"/>
        </w:rPr>
        <w:t>а</w:t>
      </w:r>
      <w:r w:rsidRPr="00E5479E">
        <w:rPr>
          <w:sz w:val="28"/>
          <w:szCs w:val="28"/>
        </w:rPr>
        <w:t>лов зубов, содержащей масляный раствор витамина</w:t>
      </w:r>
      <w:proofErr w:type="gramStart"/>
      <w:r w:rsidRPr="00E5479E">
        <w:rPr>
          <w:sz w:val="28"/>
          <w:szCs w:val="28"/>
        </w:rPr>
        <w:t xml:space="preserve"> Е</w:t>
      </w:r>
      <w:proofErr w:type="gramEnd"/>
      <w:r w:rsidRPr="00E5479E">
        <w:rPr>
          <w:sz w:val="28"/>
          <w:szCs w:val="28"/>
        </w:rPr>
        <w:t xml:space="preserve">, бария сульфат, </w:t>
      </w:r>
      <w:r w:rsidRPr="00E5479E">
        <w:rPr>
          <w:sz w:val="28"/>
          <w:szCs w:val="28"/>
        </w:rPr>
        <w:lastRenderedPageBreak/>
        <w:t>ул</w:t>
      </w:r>
      <w:r w:rsidRPr="00E5479E">
        <w:rPr>
          <w:sz w:val="28"/>
          <w:szCs w:val="28"/>
        </w:rPr>
        <w:t>ь</w:t>
      </w:r>
      <w:r w:rsidRPr="00E5479E">
        <w:rPr>
          <w:sz w:val="28"/>
          <w:szCs w:val="28"/>
        </w:rPr>
        <w:t>традисперсный гидроксиапатит, легированный серебром и метронидазол в равных долях, который имеет значительный антибактериальный эффект, иммунокоригирующее и антио</w:t>
      </w:r>
      <w:r w:rsidRPr="00E5479E">
        <w:rPr>
          <w:sz w:val="28"/>
          <w:szCs w:val="28"/>
        </w:rPr>
        <w:t>к</w:t>
      </w:r>
      <w:r w:rsidRPr="00E5479E">
        <w:rPr>
          <w:sz w:val="28"/>
          <w:szCs w:val="28"/>
        </w:rPr>
        <w:t>сидантное действие, и в 2-5 раз снижает частоту развития обострения заболевания в течение 24 мес</w:t>
      </w:r>
      <w:r w:rsidRPr="00E5479E">
        <w:rPr>
          <w:sz w:val="28"/>
          <w:szCs w:val="28"/>
        </w:rPr>
        <w:t>я</w:t>
      </w:r>
      <w:r w:rsidRPr="00E5479E">
        <w:rPr>
          <w:sz w:val="28"/>
          <w:szCs w:val="28"/>
        </w:rPr>
        <w:t>цев</w:t>
      </w:r>
      <w:r w:rsidRPr="00E5479E">
        <w:rPr>
          <w:bCs/>
          <w:sz w:val="28"/>
          <w:szCs w:val="28"/>
        </w:rPr>
        <w:t xml:space="preserve">. </w:t>
      </w:r>
    </w:p>
    <w:p w:rsidR="0019442B" w:rsidRPr="00E5479E" w:rsidRDefault="0019442B" w:rsidP="0019442B">
      <w:pPr>
        <w:spacing w:line="360" w:lineRule="auto"/>
        <w:ind w:firstLine="720"/>
        <w:jc w:val="both"/>
        <w:rPr>
          <w:sz w:val="28"/>
          <w:szCs w:val="28"/>
        </w:rPr>
      </w:pPr>
      <w:r w:rsidRPr="00E5479E">
        <w:rPr>
          <w:bCs/>
          <w:sz w:val="28"/>
          <w:szCs w:val="28"/>
        </w:rPr>
        <w:t>Практическое значение полученных результатов. Разработан и</w:t>
      </w:r>
      <w:r w:rsidRPr="00E5479E">
        <w:rPr>
          <w:sz w:val="28"/>
          <w:szCs w:val="28"/>
        </w:rPr>
        <w:t xml:space="preserve"> защ</w:t>
      </w:r>
      <w:r w:rsidRPr="00E5479E">
        <w:rPr>
          <w:sz w:val="28"/>
          <w:szCs w:val="28"/>
        </w:rPr>
        <w:t>и</w:t>
      </w:r>
      <w:r w:rsidRPr="00E5479E">
        <w:rPr>
          <w:sz w:val="28"/>
          <w:szCs w:val="28"/>
        </w:rPr>
        <w:t>щён декларационным патентом на полезную модель способ лечения хрон</w:t>
      </w:r>
      <w:r w:rsidRPr="00E5479E">
        <w:rPr>
          <w:sz w:val="28"/>
          <w:szCs w:val="28"/>
        </w:rPr>
        <w:t>и</w:t>
      </w:r>
      <w:r w:rsidRPr="00E5479E">
        <w:rPr>
          <w:sz w:val="28"/>
          <w:szCs w:val="28"/>
        </w:rPr>
        <w:t>ческого периодонтита. Полученные данные используются в лекционном ку</w:t>
      </w:r>
      <w:r w:rsidRPr="00E5479E">
        <w:rPr>
          <w:sz w:val="28"/>
          <w:szCs w:val="28"/>
        </w:rPr>
        <w:t>р</w:t>
      </w:r>
      <w:r w:rsidRPr="00E5479E">
        <w:rPr>
          <w:sz w:val="28"/>
          <w:szCs w:val="28"/>
        </w:rPr>
        <w:t>се и при проведении практических занятий на кафедрах патофизиологии и стоматологии № 1 Луганского государственного мед</w:t>
      </w:r>
      <w:r w:rsidRPr="00E5479E">
        <w:rPr>
          <w:sz w:val="28"/>
          <w:szCs w:val="28"/>
        </w:rPr>
        <w:t>и</w:t>
      </w:r>
      <w:r w:rsidRPr="00E5479E">
        <w:rPr>
          <w:sz w:val="28"/>
          <w:szCs w:val="28"/>
        </w:rPr>
        <w:t>цинского университета Министерства здравоохранения Украины, что подтверждено соответствующими актами внедр</w:t>
      </w:r>
      <w:r w:rsidRPr="00E5479E">
        <w:rPr>
          <w:sz w:val="28"/>
          <w:szCs w:val="28"/>
        </w:rPr>
        <w:t>е</w:t>
      </w:r>
      <w:r w:rsidRPr="00E5479E">
        <w:rPr>
          <w:sz w:val="28"/>
          <w:szCs w:val="28"/>
        </w:rPr>
        <w:t>ния.</w:t>
      </w:r>
    </w:p>
    <w:p w:rsidR="0019442B" w:rsidRPr="00E5479E" w:rsidRDefault="0019442B" w:rsidP="0019442B">
      <w:pPr>
        <w:spacing w:line="360" w:lineRule="auto"/>
        <w:ind w:firstLine="709"/>
        <w:jc w:val="both"/>
        <w:rPr>
          <w:bCs/>
          <w:sz w:val="28"/>
          <w:szCs w:val="28"/>
        </w:rPr>
      </w:pPr>
      <w:r w:rsidRPr="00E5479E">
        <w:rPr>
          <w:bCs/>
          <w:sz w:val="28"/>
          <w:szCs w:val="28"/>
        </w:rPr>
        <w:t>Личный вклад диссертантки. Выбор темы научного исследования, планирование работы были осуществлены вместе с научным руководителем работы профессором Н.К. Казимирко. Автором самостоятельно проведен: информационный поиск с помощью базы данных «Medline», анализ литерат</w:t>
      </w:r>
      <w:r w:rsidRPr="00E5479E">
        <w:rPr>
          <w:bCs/>
          <w:sz w:val="28"/>
          <w:szCs w:val="28"/>
        </w:rPr>
        <w:t>у</w:t>
      </w:r>
      <w:r w:rsidRPr="00E5479E">
        <w:rPr>
          <w:bCs/>
          <w:sz w:val="28"/>
          <w:szCs w:val="28"/>
        </w:rPr>
        <w:t>ры, обследованы больные, выполнены бактериологические, иммунологич</w:t>
      </w:r>
      <w:r w:rsidRPr="00E5479E">
        <w:rPr>
          <w:bCs/>
          <w:sz w:val="28"/>
          <w:szCs w:val="28"/>
        </w:rPr>
        <w:t>е</w:t>
      </w:r>
      <w:r w:rsidRPr="00E5479E">
        <w:rPr>
          <w:bCs/>
          <w:sz w:val="28"/>
          <w:szCs w:val="28"/>
        </w:rPr>
        <w:t>ские и биохимические исследования, написаны все главы диссертации и автореф</w:t>
      </w:r>
      <w:r w:rsidRPr="00E5479E">
        <w:rPr>
          <w:bCs/>
          <w:sz w:val="28"/>
          <w:szCs w:val="28"/>
        </w:rPr>
        <w:t>е</w:t>
      </w:r>
      <w:r w:rsidRPr="00E5479E">
        <w:rPr>
          <w:bCs/>
          <w:sz w:val="28"/>
          <w:szCs w:val="28"/>
        </w:rPr>
        <w:t>рат.</w:t>
      </w:r>
    </w:p>
    <w:p w:rsidR="0019442B" w:rsidRPr="00E5479E" w:rsidRDefault="0019442B" w:rsidP="0019442B">
      <w:pPr>
        <w:spacing w:line="360" w:lineRule="auto"/>
        <w:ind w:firstLine="709"/>
        <w:jc w:val="both"/>
        <w:rPr>
          <w:sz w:val="28"/>
          <w:szCs w:val="28"/>
        </w:rPr>
      </w:pPr>
      <w:r w:rsidRPr="00E5479E">
        <w:rPr>
          <w:bCs/>
          <w:sz w:val="28"/>
          <w:szCs w:val="28"/>
        </w:rPr>
        <w:t xml:space="preserve">Апробация результатов диссертации. </w:t>
      </w:r>
      <w:r w:rsidRPr="00E5479E">
        <w:rPr>
          <w:sz w:val="28"/>
          <w:szCs w:val="28"/>
        </w:rPr>
        <w:t>Результаты диссертационного и</w:t>
      </w:r>
      <w:r w:rsidRPr="00E5479E">
        <w:rPr>
          <w:sz w:val="28"/>
          <w:szCs w:val="28"/>
        </w:rPr>
        <w:t>с</w:t>
      </w:r>
      <w:r w:rsidRPr="00E5479E">
        <w:rPr>
          <w:sz w:val="28"/>
          <w:szCs w:val="28"/>
        </w:rPr>
        <w:t>следования были доложены на заседаниях:</w:t>
      </w:r>
      <w:r w:rsidRPr="00E5479E">
        <w:rPr>
          <w:sz w:val="28"/>
          <w:szCs w:val="28"/>
          <w:lang w:val="uk-UA"/>
        </w:rPr>
        <w:t xml:space="preserve"> </w:t>
      </w:r>
      <w:r w:rsidRPr="00E5479E">
        <w:rPr>
          <w:sz w:val="28"/>
          <w:szCs w:val="28"/>
        </w:rPr>
        <w:t>Всеукраинской научно-практической конференции студентов и молодых учёных «Актуальные пр</w:t>
      </w:r>
      <w:r w:rsidRPr="00E5479E">
        <w:rPr>
          <w:sz w:val="28"/>
          <w:szCs w:val="28"/>
        </w:rPr>
        <w:t>о</w:t>
      </w:r>
      <w:r w:rsidRPr="00E5479E">
        <w:rPr>
          <w:sz w:val="28"/>
          <w:szCs w:val="28"/>
        </w:rPr>
        <w:t>блемы клинической, экспериментальной, профилактической медицины и стоматологии (66-я итоговая конференция студенческого нау</w:t>
      </w:r>
      <w:r w:rsidRPr="00E5479E">
        <w:rPr>
          <w:sz w:val="28"/>
          <w:szCs w:val="28"/>
        </w:rPr>
        <w:t>ч</w:t>
      </w:r>
      <w:r w:rsidRPr="00E5479E">
        <w:rPr>
          <w:sz w:val="28"/>
          <w:szCs w:val="28"/>
        </w:rPr>
        <w:t>ного общества имени М.Д. Довгяло)» (Донецк, 2004); Всеукраинской ст</w:t>
      </w:r>
      <w:r w:rsidRPr="00E5479E">
        <w:rPr>
          <w:sz w:val="28"/>
          <w:szCs w:val="28"/>
        </w:rPr>
        <w:t>у</w:t>
      </w:r>
      <w:r w:rsidRPr="00E5479E">
        <w:rPr>
          <w:sz w:val="28"/>
          <w:szCs w:val="28"/>
        </w:rPr>
        <w:t>денческой научной конференции «Актуальные проблемы стоматологии» (Полтава, 2004); нау</w:t>
      </w:r>
      <w:r w:rsidRPr="00E5479E">
        <w:rPr>
          <w:sz w:val="28"/>
          <w:szCs w:val="28"/>
        </w:rPr>
        <w:t>ч</w:t>
      </w:r>
      <w:r w:rsidRPr="00E5479E">
        <w:rPr>
          <w:sz w:val="28"/>
          <w:szCs w:val="28"/>
        </w:rPr>
        <w:t>ной конференции студентов и молодых учёных с международным участием (Винница, 2004); научно-практической конференции с международным уч</w:t>
      </w:r>
      <w:r w:rsidRPr="00E5479E">
        <w:rPr>
          <w:sz w:val="28"/>
          <w:szCs w:val="28"/>
        </w:rPr>
        <w:t>а</w:t>
      </w:r>
      <w:r w:rsidRPr="00E5479E">
        <w:rPr>
          <w:sz w:val="28"/>
          <w:szCs w:val="28"/>
        </w:rPr>
        <w:t>стием студентов, интернов, магистров, аспирантов и молодых учёных мед</w:t>
      </w:r>
      <w:r w:rsidRPr="00E5479E">
        <w:rPr>
          <w:sz w:val="28"/>
          <w:szCs w:val="28"/>
        </w:rPr>
        <w:t>и</w:t>
      </w:r>
      <w:r w:rsidRPr="00E5479E">
        <w:rPr>
          <w:sz w:val="28"/>
          <w:szCs w:val="28"/>
        </w:rPr>
        <w:t>цинского факультета Ужгородского национального университета (Ужгород, 2008), а также на заседаниях Луганского областного общества патофизиол</w:t>
      </w:r>
      <w:r w:rsidRPr="00E5479E">
        <w:rPr>
          <w:sz w:val="28"/>
          <w:szCs w:val="28"/>
        </w:rPr>
        <w:t>о</w:t>
      </w:r>
      <w:r w:rsidRPr="00E5479E">
        <w:rPr>
          <w:sz w:val="28"/>
          <w:szCs w:val="28"/>
        </w:rPr>
        <w:t xml:space="preserve">гов в 2005-2008 гг. </w:t>
      </w:r>
    </w:p>
    <w:p w:rsidR="0019442B" w:rsidRPr="00E5479E" w:rsidRDefault="0019442B" w:rsidP="0019442B">
      <w:pPr>
        <w:spacing w:line="360" w:lineRule="auto"/>
        <w:ind w:firstLine="709"/>
        <w:jc w:val="both"/>
        <w:rPr>
          <w:sz w:val="28"/>
          <w:szCs w:val="28"/>
        </w:rPr>
      </w:pPr>
      <w:r w:rsidRPr="00E5479E">
        <w:rPr>
          <w:bCs/>
          <w:sz w:val="28"/>
          <w:szCs w:val="28"/>
        </w:rPr>
        <w:t xml:space="preserve">Публикации. </w:t>
      </w:r>
      <w:proofErr w:type="gramStart"/>
      <w:r w:rsidRPr="00E5479E">
        <w:rPr>
          <w:sz w:val="28"/>
          <w:szCs w:val="28"/>
        </w:rPr>
        <w:t>По результатам и материалам диссертации опубл</w:t>
      </w:r>
      <w:r w:rsidRPr="00E5479E">
        <w:rPr>
          <w:sz w:val="28"/>
          <w:szCs w:val="28"/>
        </w:rPr>
        <w:t>и</w:t>
      </w:r>
      <w:r w:rsidRPr="00E5479E">
        <w:rPr>
          <w:sz w:val="28"/>
          <w:szCs w:val="28"/>
        </w:rPr>
        <w:t>кованы 1</w:t>
      </w:r>
      <w:r w:rsidRPr="00E5479E">
        <w:rPr>
          <w:sz w:val="28"/>
          <w:szCs w:val="28"/>
          <w:lang w:val="uk-UA"/>
        </w:rPr>
        <w:t>1</w:t>
      </w:r>
      <w:r w:rsidRPr="00E5479E">
        <w:rPr>
          <w:sz w:val="28"/>
          <w:szCs w:val="28"/>
        </w:rPr>
        <w:t xml:space="preserve"> научных работ, из них </w:t>
      </w:r>
      <w:r w:rsidRPr="00E5479E">
        <w:rPr>
          <w:sz w:val="28"/>
          <w:szCs w:val="28"/>
          <w:lang w:val="uk-UA"/>
        </w:rPr>
        <w:t>7</w:t>
      </w:r>
      <w:r w:rsidRPr="00E5479E">
        <w:rPr>
          <w:sz w:val="28"/>
          <w:szCs w:val="28"/>
        </w:rPr>
        <w:t xml:space="preserve"> статей в журналах, </w:t>
      </w:r>
      <w:r w:rsidRPr="00E5479E">
        <w:rPr>
          <w:color w:val="000000"/>
          <w:sz w:val="28"/>
          <w:szCs w:val="28"/>
        </w:rPr>
        <w:t xml:space="preserve">отвечающих требованиям Высшей </w:t>
      </w:r>
      <w:r w:rsidRPr="00E5479E">
        <w:rPr>
          <w:color w:val="000000"/>
          <w:sz w:val="28"/>
          <w:szCs w:val="28"/>
        </w:rPr>
        <w:lastRenderedPageBreak/>
        <w:t>аттестационной комиссии Украины и опубликованных согласно требованиям, изложенным в пункте 3 Постановления Высшей аттестацио</w:t>
      </w:r>
      <w:r w:rsidRPr="00E5479E">
        <w:rPr>
          <w:color w:val="000000"/>
          <w:sz w:val="28"/>
          <w:szCs w:val="28"/>
        </w:rPr>
        <w:t>н</w:t>
      </w:r>
      <w:r w:rsidRPr="00E5479E">
        <w:rPr>
          <w:color w:val="000000"/>
          <w:sz w:val="28"/>
          <w:szCs w:val="28"/>
        </w:rPr>
        <w:t>ной комиссии Украины от 15 января 2003 г. за № 7-05/1</w:t>
      </w:r>
      <w:r w:rsidRPr="00E5479E">
        <w:rPr>
          <w:sz w:val="28"/>
          <w:szCs w:val="28"/>
        </w:rPr>
        <w:t>, 4 тезисов докладов на конференциях, получен 1 декларационный патент на полезную модель.</w:t>
      </w:r>
      <w:proofErr w:type="gramEnd"/>
    </w:p>
    <w:p w:rsidR="0019442B" w:rsidRPr="00E5479E" w:rsidRDefault="0019442B" w:rsidP="0019442B">
      <w:pPr>
        <w:jc w:val="center"/>
        <w:rPr>
          <w:sz w:val="28"/>
          <w:szCs w:val="28"/>
        </w:rPr>
      </w:pPr>
      <w:r>
        <w:rPr>
          <w:color w:val="000000"/>
          <w:sz w:val="28"/>
          <w:szCs w:val="28"/>
        </w:rPr>
        <w:br w:type="page"/>
      </w:r>
      <w:r w:rsidRPr="00E5479E">
        <w:rPr>
          <w:sz w:val="28"/>
          <w:szCs w:val="28"/>
        </w:rPr>
        <w:lastRenderedPageBreak/>
        <w:t>ВЫВОДЫ</w:t>
      </w:r>
    </w:p>
    <w:p w:rsidR="0019442B" w:rsidRPr="00E5479E" w:rsidRDefault="0019442B" w:rsidP="0019442B">
      <w:pPr>
        <w:rPr>
          <w:sz w:val="28"/>
          <w:szCs w:val="28"/>
        </w:rPr>
      </w:pPr>
    </w:p>
    <w:p w:rsidR="0019442B" w:rsidRPr="00E5479E" w:rsidRDefault="0019442B" w:rsidP="0019442B">
      <w:pPr>
        <w:rPr>
          <w:sz w:val="28"/>
          <w:szCs w:val="28"/>
        </w:rPr>
      </w:pPr>
    </w:p>
    <w:p w:rsidR="0019442B" w:rsidRPr="00E5479E" w:rsidRDefault="0019442B" w:rsidP="0019442B">
      <w:pPr>
        <w:rPr>
          <w:sz w:val="28"/>
          <w:szCs w:val="28"/>
        </w:rPr>
      </w:pPr>
    </w:p>
    <w:p w:rsidR="0019442B" w:rsidRPr="00E5479E" w:rsidRDefault="0019442B" w:rsidP="0019442B">
      <w:pPr>
        <w:spacing w:line="360" w:lineRule="auto"/>
        <w:ind w:firstLine="709"/>
        <w:jc w:val="both"/>
        <w:rPr>
          <w:bCs/>
          <w:sz w:val="28"/>
          <w:szCs w:val="28"/>
        </w:rPr>
      </w:pPr>
      <w:r w:rsidRPr="00E5479E">
        <w:rPr>
          <w:bCs/>
          <w:sz w:val="28"/>
          <w:szCs w:val="28"/>
        </w:rPr>
        <w:t xml:space="preserve">Диссертационная работа посвящена решению актуальной задачи современной медицины, которая состоит в </w:t>
      </w:r>
      <w:r w:rsidRPr="00E5479E">
        <w:rPr>
          <w:sz w:val="28"/>
          <w:szCs w:val="28"/>
        </w:rPr>
        <w:t>разработке патогенетически обоснованного способа лечения и профилактики обострений хронического периодонтита с использованием композиции для временного пломбирования корневых каналов, содержащей витамин</w:t>
      </w:r>
      <w:proofErr w:type="gramStart"/>
      <w:r w:rsidRPr="00E5479E">
        <w:rPr>
          <w:sz w:val="28"/>
          <w:szCs w:val="28"/>
        </w:rPr>
        <w:t xml:space="preserve"> Е</w:t>
      </w:r>
      <w:proofErr w:type="gramEnd"/>
      <w:r w:rsidRPr="00E5479E">
        <w:rPr>
          <w:sz w:val="28"/>
          <w:szCs w:val="28"/>
        </w:rPr>
        <w:t>, метронидазол, сульфат бария и ул</w:t>
      </w:r>
      <w:r w:rsidRPr="00E5479E">
        <w:rPr>
          <w:sz w:val="28"/>
          <w:szCs w:val="28"/>
        </w:rPr>
        <w:t>ь</w:t>
      </w:r>
      <w:r w:rsidRPr="00E5479E">
        <w:rPr>
          <w:sz w:val="28"/>
          <w:szCs w:val="28"/>
        </w:rPr>
        <w:t>традисперсный гидроксиапатит, легированный серебром.</w:t>
      </w:r>
    </w:p>
    <w:p w:rsidR="0019442B" w:rsidRPr="00E5479E" w:rsidRDefault="0019442B" w:rsidP="00DA0CD3">
      <w:pPr>
        <w:pStyle w:val="40"/>
        <w:numPr>
          <w:ilvl w:val="0"/>
          <w:numId w:val="68"/>
        </w:numPr>
        <w:suppressAutoHyphens w:val="0"/>
        <w:jc w:val="both"/>
        <w:rPr>
          <w:b/>
          <w:i/>
        </w:rPr>
      </w:pPr>
      <w:r w:rsidRPr="00E5479E">
        <w:rPr>
          <w:b/>
        </w:rPr>
        <w:t xml:space="preserve">В развитии хронического периодонтита принимает участие 21 вид строго анаэробных бактерий, в том числе </w:t>
      </w:r>
      <w:r w:rsidRPr="00E5479E">
        <w:rPr>
          <w:b/>
          <w:i/>
          <w:lang w:val="en-US"/>
        </w:rPr>
        <w:t>A</w:t>
      </w:r>
      <w:r w:rsidRPr="004C69CB">
        <w:rPr>
          <w:b/>
          <w:i/>
        </w:rPr>
        <w:t xml:space="preserve">. </w:t>
      </w:r>
      <w:r w:rsidRPr="00E5479E">
        <w:rPr>
          <w:b/>
          <w:i/>
          <w:lang w:val="en-US"/>
        </w:rPr>
        <w:t>fermentans</w:t>
      </w:r>
      <w:r w:rsidRPr="004C69CB">
        <w:rPr>
          <w:b/>
        </w:rPr>
        <w:t xml:space="preserve"> (12,4 %)</w:t>
      </w:r>
      <w:r w:rsidRPr="004C69CB">
        <w:rPr>
          <w:b/>
          <w:i/>
        </w:rPr>
        <w:t>,</w:t>
      </w:r>
      <w:r w:rsidRPr="00E5479E">
        <w:rPr>
          <w:b/>
          <w:i/>
        </w:rPr>
        <w:t xml:space="preserve"> </w:t>
      </w:r>
      <w:r w:rsidRPr="00E5479E">
        <w:rPr>
          <w:b/>
          <w:i/>
          <w:lang w:val="en-US"/>
        </w:rPr>
        <w:t>A</w:t>
      </w:r>
      <w:r w:rsidRPr="004C69CB">
        <w:rPr>
          <w:b/>
          <w:i/>
        </w:rPr>
        <w:t xml:space="preserve">. </w:t>
      </w:r>
      <w:r w:rsidRPr="00E5479E">
        <w:rPr>
          <w:b/>
          <w:i/>
          <w:lang w:val="en-US"/>
        </w:rPr>
        <w:t>naeslundii</w:t>
      </w:r>
      <w:r w:rsidRPr="004C69CB">
        <w:rPr>
          <w:b/>
        </w:rPr>
        <w:t xml:space="preserve"> (4,7 %), </w:t>
      </w:r>
      <w:r w:rsidRPr="00E5479E">
        <w:rPr>
          <w:b/>
          <w:i/>
          <w:lang w:val="en-US"/>
        </w:rPr>
        <w:t>B</w:t>
      </w:r>
      <w:r w:rsidRPr="004C69CB">
        <w:rPr>
          <w:b/>
          <w:i/>
        </w:rPr>
        <w:t xml:space="preserve">. </w:t>
      </w:r>
      <w:proofErr w:type="gramStart"/>
      <w:r w:rsidRPr="004C69CB">
        <w:rPr>
          <w:b/>
          <w:i/>
        </w:rPr>
        <w:t>р</w:t>
      </w:r>
      <w:proofErr w:type="gramEnd"/>
      <w:r w:rsidRPr="00E5479E">
        <w:rPr>
          <w:b/>
          <w:i/>
          <w:lang w:val="en-US"/>
        </w:rPr>
        <w:t>utredinus</w:t>
      </w:r>
      <w:r w:rsidRPr="004C69CB">
        <w:rPr>
          <w:b/>
        </w:rPr>
        <w:t xml:space="preserve"> (5,2 %), </w:t>
      </w:r>
      <w:r w:rsidRPr="00E5479E">
        <w:rPr>
          <w:b/>
          <w:i/>
          <w:lang w:val="en-US"/>
        </w:rPr>
        <w:t>C</w:t>
      </w:r>
      <w:r w:rsidRPr="004C69CB">
        <w:rPr>
          <w:b/>
          <w:i/>
        </w:rPr>
        <w:t xml:space="preserve">. </w:t>
      </w:r>
      <w:r w:rsidRPr="00E5479E">
        <w:rPr>
          <w:b/>
          <w:i/>
          <w:lang w:val="en-US"/>
        </w:rPr>
        <w:t>histolyticum</w:t>
      </w:r>
      <w:r w:rsidRPr="004C69CB">
        <w:rPr>
          <w:b/>
        </w:rPr>
        <w:t xml:space="preserve"> (3,4 %), </w:t>
      </w:r>
      <w:r w:rsidRPr="00E5479E">
        <w:rPr>
          <w:b/>
          <w:i/>
          <w:lang w:val="en-US"/>
        </w:rPr>
        <w:t>C</w:t>
      </w:r>
      <w:r w:rsidRPr="004C69CB">
        <w:rPr>
          <w:b/>
          <w:i/>
        </w:rPr>
        <w:t xml:space="preserve">. </w:t>
      </w:r>
      <w:r w:rsidRPr="00E5479E">
        <w:rPr>
          <w:b/>
          <w:i/>
          <w:lang w:val="en-US"/>
        </w:rPr>
        <w:t>su</w:t>
      </w:r>
      <w:r w:rsidRPr="00E5479E">
        <w:rPr>
          <w:b/>
          <w:i/>
          <w:lang w:val="en-US"/>
        </w:rPr>
        <w:t>b</w:t>
      </w:r>
      <w:r w:rsidRPr="00E5479E">
        <w:rPr>
          <w:b/>
          <w:i/>
          <w:lang w:val="en-US"/>
        </w:rPr>
        <w:t>terminale</w:t>
      </w:r>
      <w:r w:rsidRPr="004C69CB">
        <w:rPr>
          <w:b/>
        </w:rPr>
        <w:t xml:space="preserve"> (7,7 %), </w:t>
      </w:r>
      <w:r w:rsidRPr="00E5479E">
        <w:rPr>
          <w:b/>
          <w:i/>
          <w:lang w:val="en-US"/>
        </w:rPr>
        <w:t>D</w:t>
      </w:r>
      <w:r w:rsidRPr="004C69CB">
        <w:rPr>
          <w:b/>
          <w:i/>
        </w:rPr>
        <w:t xml:space="preserve">. </w:t>
      </w:r>
      <w:r w:rsidRPr="00E5479E">
        <w:rPr>
          <w:b/>
          <w:i/>
          <w:lang w:val="en-US"/>
        </w:rPr>
        <w:t>nodosus</w:t>
      </w:r>
      <w:r w:rsidRPr="004C69CB">
        <w:rPr>
          <w:b/>
        </w:rPr>
        <w:t xml:space="preserve"> (9 %), </w:t>
      </w:r>
      <w:r w:rsidRPr="00E5479E">
        <w:rPr>
          <w:b/>
          <w:i/>
          <w:lang w:val="en-US"/>
        </w:rPr>
        <w:t>D</w:t>
      </w:r>
      <w:r w:rsidRPr="004C69CB">
        <w:rPr>
          <w:b/>
          <w:i/>
        </w:rPr>
        <w:t xml:space="preserve">. </w:t>
      </w:r>
      <w:r w:rsidRPr="00E5479E">
        <w:rPr>
          <w:b/>
          <w:i/>
          <w:lang w:val="en-US"/>
        </w:rPr>
        <w:t>pneumosintes</w:t>
      </w:r>
      <w:r w:rsidRPr="004C69CB">
        <w:rPr>
          <w:b/>
        </w:rPr>
        <w:t xml:space="preserve"> (2,1 %), </w:t>
      </w:r>
      <w:r w:rsidRPr="00E5479E">
        <w:rPr>
          <w:b/>
          <w:i/>
          <w:lang w:val="en-US"/>
        </w:rPr>
        <w:t>E</w:t>
      </w:r>
      <w:r w:rsidRPr="004C69CB">
        <w:rPr>
          <w:b/>
          <w:i/>
        </w:rPr>
        <w:t xml:space="preserve">. </w:t>
      </w:r>
      <w:r w:rsidRPr="00E5479E">
        <w:rPr>
          <w:b/>
          <w:i/>
          <w:lang w:val="en-US"/>
        </w:rPr>
        <w:t>lenta</w:t>
      </w:r>
      <w:r w:rsidRPr="004C69CB">
        <w:rPr>
          <w:b/>
        </w:rPr>
        <w:t xml:space="preserve"> (11,6 %), </w:t>
      </w:r>
      <w:r w:rsidRPr="00E5479E">
        <w:rPr>
          <w:b/>
          <w:i/>
          <w:lang w:val="en-US"/>
        </w:rPr>
        <w:t>E</w:t>
      </w:r>
      <w:r w:rsidRPr="004C69CB">
        <w:rPr>
          <w:b/>
          <w:i/>
        </w:rPr>
        <w:t xml:space="preserve">. </w:t>
      </w:r>
      <w:r w:rsidRPr="00E5479E">
        <w:rPr>
          <w:b/>
          <w:i/>
          <w:lang w:val="en-US"/>
        </w:rPr>
        <w:t>tenue</w:t>
      </w:r>
      <w:r w:rsidRPr="004C69CB">
        <w:rPr>
          <w:b/>
        </w:rPr>
        <w:t xml:space="preserve"> (3 %), </w:t>
      </w:r>
      <w:r w:rsidRPr="00E5479E">
        <w:rPr>
          <w:b/>
          <w:i/>
          <w:lang w:val="en-US"/>
        </w:rPr>
        <w:t>F</w:t>
      </w:r>
      <w:r w:rsidRPr="004C69CB">
        <w:rPr>
          <w:b/>
          <w:i/>
        </w:rPr>
        <w:t xml:space="preserve">. </w:t>
      </w:r>
      <w:r w:rsidRPr="00E5479E">
        <w:rPr>
          <w:b/>
          <w:i/>
          <w:lang w:val="en-US"/>
        </w:rPr>
        <w:t>varium</w:t>
      </w:r>
      <w:r w:rsidRPr="004C69CB">
        <w:rPr>
          <w:b/>
        </w:rPr>
        <w:t xml:space="preserve"> (2,6 %), </w:t>
      </w:r>
      <w:r w:rsidRPr="00E5479E">
        <w:rPr>
          <w:b/>
          <w:i/>
          <w:lang w:val="en-US"/>
        </w:rPr>
        <w:t>G</w:t>
      </w:r>
      <w:r w:rsidRPr="004C69CB">
        <w:rPr>
          <w:b/>
          <w:i/>
        </w:rPr>
        <w:t xml:space="preserve">. </w:t>
      </w:r>
      <w:r w:rsidRPr="00E5479E">
        <w:rPr>
          <w:b/>
          <w:i/>
          <w:lang w:val="en-US"/>
        </w:rPr>
        <w:t>morbillorum</w:t>
      </w:r>
      <w:r w:rsidRPr="004C69CB">
        <w:rPr>
          <w:b/>
        </w:rPr>
        <w:t xml:space="preserve"> (10,3 %), </w:t>
      </w:r>
      <w:r w:rsidRPr="00E5479E">
        <w:rPr>
          <w:b/>
          <w:i/>
          <w:lang w:val="en-US"/>
        </w:rPr>
        <w:t>L</w:t>
      </w:r>
      <w:r w:rsidRPr="004C69CB">
        <w:rPr>
          <w:b/>
          <w:i/>
        </w:rPr>
        <w:t xml:space="preserve">. </w:t>
      </w:r>
      <w:r w:rsidRPr="00E5479E">
        <w:rPr>
          <w:b/>
          <w:i/>
          <w:lang w:val="en-US"/>
        </w:rPr>
        <w:t>catenaforme</w:t>
      </w:r>
      <w:r w:rsidRPr="004C69CB">
        <w:rPr>
          <w:b/>
        </w:rPr>
        <w:t xml:space="preserve"> (2,1 %), </w:t>
      </w:r>
      <w:r w:rsidRPr="00E5479E">
        <w:rPr>
          <w:b/>
          <w:i/>
          <w:lang w:val="en-US"/>
        </w:rPr>
        <w:t>P</w:t>
      </w:r>
      <w:r w:rsidRPr="004C69CB">
        <w:rPr>
          <w:b/>
          <w:i/>
        </w:rPr>
        <w:t xml:space="preserve">. </w:t>
      </w:r>
      <w:r w:rsidRPr="00E5479E">
        <w:rPr>
          <w:b/>
          <w:i/>
          <w:lang w:val="en-US"/>
        </w:rPr>
        <w:t>anaer</w:t>
      </w:r>
      <w:r w:rsidRPr="00E5479E">
        <w:rPr>
          <w:b/>
          <w:i/>
          <w:lang w:val="en-US"/>
        </w:rPr>
        <w:t>o</w:t>
      </w:r>
      <w:r w:rsidRPr="00E5479E">
        <w:rPr>
          <w:b/>
          <w:i/>
          <w:lang w:val="en-US"/>
        </w:rPr>
        <w:t>bius</w:t>
      </w:r>
      <w:r w:rsidRPr="004C69CB">
        <w:rPr>
          <w:b/>
        </w:rPr>
        <w:t xml:space="preserve"> (2,1 %), </w:t>
      </w:r>
      <w:r w:rsidRPr="00E5479E">
        <w:rPr>
          <w:b/>
          <w:i/>
          <w:lang w:val="en-US"/>
        </w:rPr>
        <w:t>P</w:t>
      </w:r>
      <w:r w:rsidRPr="004C69CB">
        <w:rPr>
          <w:b/>
          <w:i/>
        </w:rPr>
        <w:t xml:space="preserve">. </w:t>
      </w:r>
      <w:r w:rsidRPr="00E5479E">
        <w:rPr>
          <w:b/>
          <w:i/>
          <w:lang w:val="en-US"/>
        </w:rPr>
        <w:t>arridum</w:t>
      </w:r>
      <w:r w:rsidRPr="004C69CB">
        <w:rPr>
          <w:b/>
        </w:rPr>
        <w:t xml:space="preserve"> (1,3 %), </w:t>
      </w:r>
      <w:r w:rsidRPr="00E5479E">
        <w:rPr>
          <w:b/>
          <w:i/>
          <w:lang w:val="en-US"/>
        </w:rPr>
        <w:t>P</w:t>
      </w:r>
      <w:r w:rsidRPr="004C69CB">
        <w:rPr>
          <w:b/>
          <w:i/>
        </w:rPr>
        <w:t xml:space="preserve">. </w:t>
      </w:r>
      <w:r w:rsidRPr="00E5479E">
        <w:rPr>
          <w:b/>
          <w:i/>
          <w:lang w:val="en-US"/>
        </w:rPr>
        <w:t>asaccharolyticus</w:t>
      </w:r>
      <w:r w:rsidRPr="004C69CB">
        <w:rPr>
          <w:b/>
        </w:rPr>
        <w:t xml:space="preserve"> (5,6 %), </w:t>
      </w:r>
      <w:r w:rsidRPr="00E5479E">
        <w:rPr>
          <w:b/>
          <w:i/>
          <w:lang w:val="en-US"/>
        </w:rPr>
        <w:t>P</w:t>
      </w:r>
      <w:r w:rsidRPr="004C69CB">
        <w:rPr>
          <w:b/>
          <w:i/>
        </w:rPr>
        <w:t xml:space="preserve">. </w:t>
      </w:r>
      <w:proofErr w:type="gramStart"/>
      <w:r w:rsidRPr="00E5479E">
        <w:rPr>
          <w:b/>
          <w:i/>
          <w:lang w:val="en-US"/>
        </w:rPr>
        <w:t>magnus</w:t>
      </w:r>
      <w:proofErr w:type="gramEnd"/>
      <w:r w:rsidRPr="004C69CB">
        <w:rPr>
          <w:b/>
          <w:i/>
        </w:rPr>
        <w:t xml:space="preserve"> </w:t>
      </w:r>
      <w:r w:rsidRPr="004C69CB">
        <w:rPr>
          <w:b/>
        </w:rPr>
        <w:t>(4,3 %)</w:t>
      </w:r>
      <w:r w:rsidRPr="004C69CB">
        <w:rPr>
          <w:b/>
          <w:i/>
        </w:rPr>
        <w:t xml:space="preserve">, </w:t>
      </w:r>
      <w:r w:rsidRPr="00E5479E">
        <w:rPr>
          <w:b/>
          <w:i/>
          <w:lang w:val="en-US"/>
        </w:rPr>
        <w:t>P</w:t>
      </w:r>
      <w:r w:rsidRPr="004C69CB">
        <w:rPr>
          <w:b/>
          <w:i/>
        </w:rPr>
        <w:t xml:space="preserve">. </w:t>
      </w:r>
      <w:r w:rsidRPr="00E5479E">
        <w:rPr>
          <w:b/>
          <w:i/>
          <w:lang w:val="en-US"/>
        </w:rPr>
        <w:t>melaninogenica</w:t>
      </w:r>
      <w:r w:rsidRPr="004C69CB">
        <w:rPr>
          <w:b/>
        </w:rPr>
        <w:t xml:space="preserve"> (3 %)</w:t>
      </w:r>
      <w:r w:rsidRPr="004C69CB">
        <w:rPr>
          <w:b/>
          <w:i/>
        </w:rPr>
        <w:t xml:space="preserve">, </w:t>
      </w:r>
      <w:r w:rsidRPr="00E5479E">
        <w:rPr>
          <w:b/>
          <w:i/>
          <w:lang w:val="en-US"/>
        </w:rPr>
        <w:t>S</w:t>
      </w:r>
      <w:r w:rsidRPr="004C69CB">
        <w:rPr>
          <w:b/>
          <w:i/>
        </w:rPr>
        <w:t xml:space="preserve">. </w:t>
      </w:r>
      <w:r w:rsidRPr="00E5479E">
        <w:rPr>
          <w:b/>
          <w:i/>
          <w:lang w:val="en-US"/>
        </w:rPr>
        <w:t>hansenii</w:t>
      </w:r>
      <w:r w:rsidRPr="004C69CB">
        <w:rPr>
          <w:b/>
          <w:i/>
        </w:rPr>
        <w:t xml:space="preserve"> </w:t>
      </w:r>
      <w:r w:rsidRPr="004C69CB">
        <w:rPr>
          <w:b/>
        </w:rPr>
        <w:t>(2,6 %)</w:t>
      </w:r>
      <w:r w:rsidRPr="004C69CB">
        <w:rPr>
          <w:b/>
          <w:i/>
        </w:rPr>
        <w:t xml:space="preserve">, </w:t>
      </w:r>
      <w:r w:rsidRPr="00E5479E">
        <w:rPr>
          <w:b/>
          <w:i/>
          <w:lang w:val="en-US"/>
        </w:rPr>
        <w:t>T</w:t>
      </w:r>
      <w:r w:rsidRPr="004C69CB">
        <w:rPr>
          <w:b/>
          <w:i/>
        </w:rPr>
        <w:t xml:space="preserve">. </w:t>
      </w:r>
      <w:r w:rsidRPr="00E5479E">
        <w:rPr>
          <w:b/>
          <w:i/>
          <w:lang w:val="en-US"/>
        </w:rPr>
        <w:t>praeacuta</w:t>
      </w:r>
      <w:r w:rsidRPr="004C69CB">
        <w:rPr>
          <w:b/>
        </w:rPr>
        <w:t xml:space="preserve"> (3,9 %)</w:t>
      </w:r>
      <w:r w:rsidRPr="004C69CB">
        <w:rPr>
          <w:b/>
          <w:i/>
        </w:rPr>
        <w:t xml:space="preserve">, </w:t>
      </w:r>
      <w:r w:rsidRPr="00E5479E">
        <w:rPr>
          <w:b/>
          <w:i/>
          <w:lang w:val="en-US"/>
        </w:rPr>
        <w:t>V</w:t>
      </w:r>
      <w:r w:rsidRPr="004C69CB">
        <w:rPr>
          <w:b/>
          <w:i/>
        </w:rPr>
        <w:t xml:space="preserve">. </w:t>
      </w:r>
      <w:r w:rsidRPr="00E5479E">
        <w:rPr>
          <w:b/>
          <w:i/>
          <w:lang w:val="en-US"/>
        </w:rPr>
        <w:t>a</w:t>
      </w:r>
      <w:r w:rsidRPr="00E5479E">
        <w:rPr>
          <w:b/>
          <w:i/>
          <w:lang w:val="en-US"/>
        </w:rPr>
        <w:t>l</w:t>
      </w:r>
      <w:r w:rsidRPr="00E5479E">
        <w:rPr>
          <w:b/>
          <w:i/>
          <w:lang w:val="en-US"/>
        </w:rPr>
        <w:t>calescens</w:t>
      </w:r>
      <w:r w:rsidRPr="004C69CB">
        <w:rPr>
          <w:b/>
        </w:rPr>
        <w:t xml:space="preserve"> (1,3 %) </w:t>
      </w:r>
      <w:r w:rsidRPr="00E5479E">
        <w:rPr>
          <w:b/>
        </w:rPr>
        <w:t xml:space="preserve">и </w:t>
      </w:r>
      <w:r w:rsidRPr="00E5479E">
        <w:rPr>
          <w:b/>
          <w:i/>
          <w:lang w:val="en-US"/>
        </w:rPr>
        <w:t>V</w:t>
      </w:r>
      <w:r w:rsidRPr="004C69CB">
        <w:rPr>
          <w:b/>
          <w:i/>
        </w:rPr>
        <w:t xml:space="preserve">. </w:t>
      </w:r>
      <w:r w:rsidRPr="00E5479E">
        <w:rPr>
          <w:b/>
          <w:i/>
          <w:lang w:val="en-US"/>
        </w:rPr>
        <w:t>parvula</w:t>
      </w:r>
      <w:r w:rsidRPr="004C69CB">
        <w:rPr>
          <w:b/>
          <w:i/>
        </w:rPr>
        <w:t xml:space="preserve"> </w:t>
      </w:r>
      <w:r w:rsidRPr="004C69CB">
        <w:rPr>
          <w:b/>
        </w:rPr>
        <w:t>(1,7 %).</w:t>
      </w:r>
      <w:r w:rsidRPr="00E5479E">
        <w:rPr>
          <w:b/>
        </w:rPr>
        <w:t xml:space="preserve"> В 61,3 % случаев хронический пер</w:t>
      </w:r>
      <w:r w:rsidRPr="00E5479E">
        <w:rPr>
          <w:b/>
        </w:rPr>
        <w:t>и</w:t>
      </w:r>
      <w:r w:rsidRPr="00E5479E">
        <w:rPr>
          <w:b/>
        </w:rPr>
        <w:t>одонтит является моноинфекцией, в 38,7 % - смешанной. Этиологич</w:t>
      </w:r>
      <w:r w:rsidRPr="00E5479E">
        <w:rPr>
          <w:b/>
        </w:rPr>
        <w:t>е</w:t>
      </w:r>
      <w:r w:rsidRPr="00E5479E">
        <w:rPr>
          <w:b/>
        </w:rPr>
        <w:t>ские агенты хронического периодонтита обладают иммуносупрессивными свойствами, выражающимися в способности специфически взаимоде</w:t>
      </w:r>
      <w:r w:rsidRPr="00E5479E">
        <w:rPr>
          <w:b/>
        </w:rPr>
        <w:t>й</w:t>
      </w:r>
      <w:r w:rsidRPr="00E5479E">
        <w:rPr>
          <w:b/>
        </w:rPr>
        <w:t xml:space="preserve">ствовать с комплементом, связывать лизоцим и разрушать </w:t>
      </w:r>
      <w:r w:rsidRPr="00E5479E">
        <w:rPr>
          <w:b/>
          <w:lang w:val="en-US"/>
        </w:rPr>
        <w:t>Ig</w:t>
      </w:r>
      <w:proofErr w:type="gramStart"/>
      <w:r w:rsidRPr="00E5479E">
        <w:rPr>
          <w:b/>
        </w:rPr>
        <w:t xml:space="preserve"> </w:t>
      </w:r>
      <w:r w:rsidRPr="00E5479E">
        <w:rPr>
          <w:b/>
          <w:lang w:val="uk-UA"/>
        </w:rPr>
        <w:t>А</w:t>
      </w:r>
      <w:proofErr w:type="gramEnd"/>
      <w:r w:rsidRPr="00E5479E">
        <w:rPr>
          <w:b/>
        </w:rPr>
        <w:t>,</w:t>
      </w:r>
      <w:r w:rsidRPr="00E5479E">
        <w:rPr>
          <w:b/>
          <w:lang w:val="uk-UA"/>
        </w:rPr>
        <w:t xml:space="preserve"> </w:t>
      </w:r>
      <w:r w:rsidRPr="00E5479E">
        <w:rPr>
          <w:b/>
          <w:lang w:val="en-US"/>
        </w:rPr>
        <w:t>Ig</w:t>
      </w:r>
      <w:r w:rsidRPr="004C69CB">
        <w:rPr>
          <w:b/>
        </w:rPr>
        <w:t xml:space="preserve"> </w:t>
      </w:r>
      <w:r w:rsidRPr="00E5479E">
        <w:rPr>
          <w:b/>
          <w:lang w:val="en-US"/>
        </w:rPr>
        <w:t>M</w:t>
      </w:r>
      <w:r w:rsidRPr="004C69CB">
        <w:rPr>
          <w:b/>
        </w:rPr>
        <w:t xml:space="preserve"> </w:t>
      </w:r>
      <w:r w:rsidRPr="00E5479E">
        <w:rPr>
          <w:b/>
        </w:rPr>
        <w:t xml:space="preserve">и </w:t>
      </w:r>
      <w:r w:rsidRPr="00E5479E">
        <w:rPr>
          <w:b/>
          <w:lang w:val="en-US"/>
        </w:rPr>
        <w:t>Ig</w:t>
      </w:r>
      <w:r w:rsidRPr="004C69CB">
        <w:rPr>
          <w:b/>
        </w:rPr>
        <w:t xml:space="preserve"> </w:t>
      </w:r>
      <w:r w:rsidRPr="00E5479E">
        <w:rPr>
          <w:b/>
          <w:lang w:val="en-US"/>
        </w:rPr>
        <w:t>G</w:t>
      </w:r>
      <w:r w:rsidRPr="00E5479E">
        <w:rPr>
          <w:b/>
        </w:rPr>
        <w:t xml:space="preserve">, и наиболее выраженными у </w:t>
      </w:r>
      <w:r w:rsidRPr="00E5479E">
        <w:rPr>
          <w:b/>
          <w:i/>
        </w:rPr>
        <w:t>G. morbillorum</w:t>
      </w:r>
      <w:r w:rsidRPr="00E5479E">
        <w:rPr>
          <w:b/>
        </w:rPr>
        <w:t xml:space="preserve">, </w:t>
      </w:r>
      <w:r w:rsidRPr="00E5479E">
        <w:rPr>
          <w:b/>
          <w:i/>
        </w:rPr>
        <w:t>D. nodosus</w:t>
      </w:r>
      <w:r w:rsidRPr="00E5479E">
        <w:rPr>
          <w:b/>
        </w:rPr>
        <w:t xml:space="preserve">, </w:t>
      </w:r>
      <w:r w:rsidRPr="00E5479E">
        <w:rPr>
          <w:b/>
          <w:bCs/>
          <w:i/>
        </w:rPr>
        <w:t>A. fermentans</w:t>
      </w:r>
      <w:r w:rsidRPr="00E5479E">
        <w:rPr>
          <w:b/>
        </w:rPr>
        <w:t xml:space="preserve"> и </w:t>
      </w:r>
      <w:r w:rsidRPr="00E5479E">
        <w:rPr>
          <w:b/>
          <w:i/>
        </w:rPr>
        <w:t>E. lenta</w:t>
      </w:r>
      <w:r w:rsidRPr="00E5479E">
        <w:rPr>
          <w:b/>
        </w:rPr>
        <w:t>. Этиологические агенты хронического периодонтита чувствител</w:t>
      </w:r>
      <w:r w:rsidRPr="00E5479E">
        <w:rPr>
          <w:b/>
        </w:rPr>
        <w:t>ь</w:t>
      </w:r>
      <w:r w:rsidRPr="00E5479E">
        <w:rPr>
          <w:b/>
        </w:rPr>
        <w:t>ны к ампициллину в 55,4 % случаев, к гентамицину – в 67 %, к тетраци</w:t>
      </w:r>
      <w:r w:rsidRPr="00E5479E">
        <w:rPr>
          <w:b/>
        </w:rPr>
        <w:t>к</w:t>
      </w:r>
      <w:r w:rsidRPr="00E5479E">
        <w:rPr>
          <w:b/>
        </w:rPr>
        <w:t xml:space="preserve">лину – в 33 %, к эритромицину – </w:t>
      </w:r>
      <w:proofErr w:type="gramStart"/>
      <w:r w:rsidRPr="00E5479E">
        <w:rPr>
          <w:b/>
        </w:rPr>
        <w:t>в</w:t>
      </w:r>
      <w:proofErr w:type="gramEnd"/>
      <w:r w:rsidRPr="00E5479E">
        <w:rPr>
          <w:b/>
        </w:rPr>
        <w:t xml:space="preserve"> 49,4 %, к </w:t>
      </w:r>
      <w:r w:rsidRPr="00E5479E">
        <w:rPr>
          <w:b/>
        </w:rPr>
        <w:lastRenderedPageBreak/>
        <w:t>линкомицину – в 64,8 %, к рифа</w:t>
      </w:r>
      <w:r w:rsidRPr="00E5479E">
        <w:rPr>
          <w:b/>
        </w:rPr>
        <w:t>м</w:t>
      </w:r>
      <w:r w:rsidRPr="00E5479E">
        <w:rPr>
          <w:b/>
        </w:rPr>
        <w:t>пицину – в 84,5 %, к метронидазолу – в 94,4 % случаев.</w:t>
      </w:r>
    </w:p>
    <w:p w:rsidR="0019442B" w:rsidRPr="00E5479E" w:rsidRDefault="0019442B" w:rsidP="00DA0CD3">
      <w:pPr>
        <w:numPr>
          <w:ilvl w:val="0"/>
          <w:numId w:val="68"/>
        </w:numPr>
        <w:suppressAutoHyphens w:val="0"/>
        <w:spacing w:line="360" w:lineRule="auto"/>
        <w:jc w:val="both"/>
        <w:rPr>
          <w:sz w:val="28"/>
          <w:szCs w:val="28"/>
        </w:rPr>
      </w:pPr>
      <w:proofErr w:type="gramStart"/>
      <w:r w:rsidRPr="00E5479E">
        <w:rPr>
          <w:sz w:val="28"/>
          <w:szCs w:val="28"/>
        </w:rPr>
        <w:t>Иммунный статус пациентов с хроническим периодонтитом характериз</w:t>
      </w:r>
      <w:r w:rsidRPr="00E5479E">
        <w:rPr>
          <w:sz w:val="28"/>
          <w:szCs w:val="28"/>
        </w:rPr>
        <w:t>у</w:t>
      </w:r>
      <w:r w:rsidRPr="00E5479E">
        <w:rPr>
          <w:sz w:val="28"/>
          <w:szCs w:val="28"/>
        </w:rPr>
        <w:t>ется развит</w:t>
      </w:r>
      <w:r w:rsidRPr="00E5479E">
        <w:rPr>
          <w:sz w:val="28"/>
          <w:szCs w:val="28"/>
        </w:rPr>
        <w:t>и</w:t>
      </w:r>
      <w:r w:rsidRPr="00E5479E">
        <w:rPr>
          <w:sz w:val="28"/>
          <w:szCs w:val="28"/>
        </w:rPr>
        <w:t>ем Т-лимфопении при увеличении количества В-лимфоцитов и натуральных киллеров, формированием относительного гиперсупре</w:t>
      </w:r>
      <w:r w:rsidRPr="00E5479E">
        <w:rPr>
          <w:sz w:val="28"/>
          <w:szCs w:val="28"/>
        </w:rPr>
        <w:t>с</w:t>
      </w:r>
      <w:r w:rsidRPr="00E5479E">
        <w:rPr>
          <w:sz w:val="28"/>
          <w:szCs w:val="28"/>
        </w:rPr>
        <w:t>сорного варианта иммунодефицита, снижением ф</w:t>
      </w:r>
      <w:r w:rsidRPr="00E5479E">
        <w:rPr>
          <w:sz w:val="28"/>
          <w:szCs w:val="28"/>
        </w:rPr>
        <w:t>а</w:t>
      </w:r>
      <w:r w:rsidRPr="00E5479E">
        <w:rPr>
          <w:sz w:val="28"/>
          <w:szCs w:val="28"/>
        </w:rPr>
        <w:t>гоцитарной активности нейтрофилов периферической крови, усилением иммунокомплексных р</w:t>
      </w:r>
      <w:r w:rsidRPr="00E5479E">
        <w:rPr>
          <w:sz w:val="28"/>
          <w:szCs w:val="28"/>
        </w:rPr>
        <w:t>е</w:t>
      </w:r>
      <w:r w:rsidRPr="00E5479E">
        <w:rPr>
          <w:sz w:val="28"/>
          <w:szCs w:val="28"/>
        </w:rPr>
        <w:t xml:space="preserve">акций за счёт увеличения количества наиболее патогенных средних и мелких ЦИК, дисиммуноглобулинемией (снижением уровня </w:t>
      </w:r>
      <w:r w:rsidRPr="00E5479E">
        <w:rPr>
          <w:sz w:val="28"/>
          <w:szCs w:val="28"/>
          <w:lang w:val="en-US"/>
        </w:rPr>
        <w:t>Ig</w:t>
      </w:r>
      <w:r w:rsidRPr="004C69CB">
        <w:rPr>
          <w:sz w:val="28"/>
          <w:szCs w:val="28"/>
        </w:rPr>
        <w:t xml:space="preserve"> </w:t>
      </w:r>
      <w:r w:rsidRPr="00E5479E">
        <w:rPr>
          <w:sz w:val="28"/>
          <w:szCs w:val="28"/>
          <w:lang w:val="en-US"/>
        </w:rPr>
        <w:t>A</w:t>
      </w:r>
      <w:r w:rsidRPr="004C69CB">
        <w:rPr>
          <w:sz w:val="28"/>
          <w:szCs w:val="28"/>
        </w:rPr>
        <w:t xml:space="preserve"> </w:t>
      </w:r>
      <w:r w:rsidRPr="00E5479E">
        <w:rPr>
          <w:sz w:val="28"/>
          <w:szCs w:val="28"/>
        </w:rPr>
        <w:t>и увел</w:t>
      </w:r>
      <w:r w:rsidRPr="00E5479E">
        <w:rPr>
          <w:sz w:val="28"/>
          <w:szCs w:val="28"/>
        </w:rPr>
        <w:t>и</w:t>
      </w:r>
      <w:r w:rsidRPr="00E5479E">
        <w:rPr>
          <w:sz w:val="28"/>
          <w:szCs w:val="28"/>
        </w:rPr>
        <w:t xml:space="preserve">чением уровня </w:t>
      </w:r>
      <w:r w:rsidRPr="00E5479E">
        <w:rPr>
          <w:sz w:val="28"/>
          <w:szCs w:val="28"/>
          <w:lang w:val="en-US"/>
        </w:rPr>
        <w:t>Ig</w:t>
      </w:r>
      <w:r w:rsidRPr="004C69CB">
        <w:rPr>
          <w:sz w:val="28"/>
          <w:szCs w:val="28"/>
        </w:rPr>
        <w:t xml:space="preserve"> </w:t>
      </w:r>
      <w:r w:rsidRPr="00E5479E">
        <w:rPr>
          <w:sz w:val="28"/>
          <w:szCs w:val="28"/>
        </w:rPr>
        <w:t>М), а также низкими титрами специфических антител по отношению к этиолог</w:t>
      </w:r>
      <w:r w:rsidRPr="00E5479E">
        <w:rPr>
          <w:sz w:val="28"/>
          <w:szCs w:val="28"/>
        </w:rPr>
        <w:t>и</w:t>
      </w:r>
      <w:r w:rsidRPr="00E5479E">
        <w:rPr>
          <w:sz w:val="28"/>
          <w:szCs w:val="28"/>
        </w:rPr>
        <w:t>ческим</w:t>
      </w:r>
      <w:proofErr w:type="gramEnd"/>
      <w:r w:rsidRPr="00E5479E">
        <w:rPr>
          <w:sz w:val="28"/>
          <w:szCs w:val="28"/>
        </w:rPr>
        <w:t xml:space="preserve"> агентам заболевания.</w:t>
      </w:r>
    </w:p>
    <w:p w:rsidR="0019442B" w:rsidRPr="00E5479E" w:rsidRDefault="0019442B" w:rsidP="00DA0CD3">
      <w:pPr>
        <w:numPr>
          <w:ilvl w:val="0"/>
          <w:numId w:val="68"/>
        </w:numPr>
        <w:suppressAutoHyphens w:val="0"/>
        <w:spacing w:line="360" w:lineRule="auto"/>
        <w:jc w:val="both"/>
        <w:rPr>
          <w:sz w:val="28"/>
          <w:szCs w:val="28"/>
        </w:rPr>
      </w:pPr>
      <w:r w:rsidRPr="00E5479E">
        <w:rPr>
          <w:sz w:val="28"/>
          <w:szCs w:val="28"/>
        </w:rPr>
        <w:t>Обострение хронического периодонтита сопровождается увеличением в сыворотке крови метаболитов ПОЛ – ДК и МДА, концентрации ПГЕ</w:t>
      </w:r>
      <w:proofErr w:type="gramStart"/>
      <w:r w:rsidRPr="00E5479E">
        <w:rPr>
          <w:sz w:val="28"/>
          <w:szCs w:val="28"/>
        </w:rPr>
        <w:t>2</w:t>
      </w:r>
      <w:proofErr w:type="gramEnd"/>
      <w:r w:rsidRPr="00E5479E">
        <w:rPr>
          <w:sz w:val="28"/>
          <w:szCs w:val="28"/>
        </w:rPr>
        <w:t xml:space="preserve"> и активности ферментов АОЗ – каталазы и СОД. В нейтрофилах и моноц</w:t>
      </w:r>
      <w:r w:rsidRPr="00E5479E">
        <w:rPr>
          <w:sz w:val="28"/>
          <w:szCs w:val="28"/>
        </w:rPr>
        <w:t>и</w:t>
      </w:r>
      <w:r w:rsidRPr="00E5479E">
        <w:rPr>
          <w:sz w:val="28"/>
          <w:szCs w:val="28"/>
        </w:rPr>
        <w:t>тах периферической крови больных хроническим периодонтитом имеет место увеличение внутриклеточного содержания ДК и МДА при тенде</w:t>
      </w:r>
      <w:r w:rsidRPr="00E5479E">
        <w:rPr>
          <w:sz w:val="28"/>
          <w:szCs w:val="28"/>
        </w:rPr>
        <w:t>н</w:t>
      </w:r>
      <w:r w:rsidRPr="00E5479E">
        <w:rPr>
          <w:sz w:val="28"/>
          <w:szCs w:val="28"/>
        </w:rPr>
        <w:t>ции к увеличению активности каталазы и СОД. Непосредственный ко</w:t>
      </w:r>
      <w:r w:rsidRPr="00E5479E">
        <w:rPr>
          <w:sz w:val="28"/>
          <w:szCs w:val="28"/>
        </w:rPr>
        <w:t>н</w:t>
      </w:r>
      <w:r w:rsidRPr="00E5479E">
        <w:rPr>
          <w:sz w:val="28"/>
          <w:szCs w:val="28"/>
        </w:rPr>
        <w:t xml:space="preserve">такт нейтрофилов и моноцитов периферической крови пациентов с ПГН </w:t>
      </w:r>
      <w:r w:rsidRPr="00E5479E">
        <w:rPr>
          <w:i/>
          <w:sz w:val="28"/>
          <w:szCs w:val="28"/>
          <w:lang w:val="en-US"/>
        </w:rPr>
        <w:t>E</w:t>
      </w:r>
      <w:r w:rsidRPr="004C69CB">
        <w:rPr>
          <w:i/>
          <w:sz w:val="28"/>
          <w:szCs w:val="28"/>
        </w:rPr>
        <w:t xml:space="preserve">. </w:t>
      </w:r>
      <w:r w:rsidRPr="00E5479E">
        <w:rPr>
          <w:i/>
          <w:sz w:val="28"/>
          <w:szCs w:val="28"/>
          <w:lang w:val="en-US"/>
        </w:rPr>
        <w:t>lenta</w:t>
      </w:r>
      <w:r w:rsidRPr="004C69CB">
        <w:rPr>
          <w:sz w:val="28"/>
          <w:szCs w:val="28"/>
        </w:rPr>
        <w:t xml:space="preserve"> </w:t>
      </w:r>
      <w:r w:rsidRPr="00E5479E">
        <w:rPr>
          <w:sz w:val="28"/>
          <w:szCs w:val="28"/>
        </w:rPr>
        <w:t xml:space="preserve">и ЛПС </w:t>
      </w:r>
      <w:r w:rsidRPr="00E5479E">
        <w:rPr>
          <w:i/>
          <w:sz w:val="28"/>
          <w:szCs w:val="28"/>
          <w:lang w:val="en-US"/>
        </w:rPr>
        <w:t>A</w:t>
      </w:r>
      <w:r w:rsidRPr="004C69CB">
        <w:rPr>
          <w:i/>
          <w:sz w:val="28"/>
          <w:szCs w:val="28"/>
        </w:rPr>
        <w:t xml:space="preserve">. </w:t>
      </w:r>
      <w:r w:rsidRPr="00E5479E">
        <w:rPr>
          <w:i/>
          <w:sz w:val="28"/>
          <w:szCs w:val="28"/>
          <w:lang w:val="en-US"/>
        </w:rPr>
        <w:t>fermentans</w:t>
      </w:r>
      <w:r w:rsidRPr="00E5479E">
        <w:rPr>
          <w:sz w:val="28"/>
          <w:szCs w:val="28"/>
        </w:rPr>
        <w:t xml:space="preserve"> вызывает в данных клетках активацию ПОЛ и уменьшение активности внутр</w:t>
      </w:r>
      <w:r w:rsidRPr="00E5479E">
        <w:rPr>
          <w:sz w:val="28"/>
          <w:szCs w:val="28"/>
        </w:rPr>
        <w:t>и</w:t>
      </w:r>
      <w:r w:rsidRPr="00E5479E">
        <w:rPr>
          <w:sz w:val="28"/>
          <w:szCs w:val="28"/>
        </w:rPr>
        <w:t>клеточных каталазы и СОД.</w:t>
      </w:r>
    </w:p>
    <w:p w:rsidR="0019442B" w:rsidRPr="00E5479E" w:rsidRDefault="0019442B" w:rsidP="00DA0CD3">
      <w:pPr>
        <w:numPr>
          <w:ilvl w:val="0"/>
          <w:numId w:val="68"/>
        </w:numPr>
        <w:suppressAutoHyphens w:val="0"/>
        <w:spacing w:line="360" w:lineRule="auto"/>
        <w:jc w:val="both"/>
        <w:rPr>
          <w:sz w:val="28"/>
          <w:szCs w:val="28"/>
        </w:rPr>
      </w:pPr>
      <w:r w:rsidRPr="00E5479E">
        <w:rPr>
          <w:sz w:val="28"/>
          <w:szCs w:val="28"/>
        </w:rPr>
        <w:t>Трёхэтапный способ лечения больных хроническим периодонтитом с использованием композиции для временного пломбирования корневых каналов зубов, содержащей метронидазол, витамин</w:t>
      </w:r>
      <w:proofErr w:type="gramStart"/>
      <w:r w:rsidRPr="00E5479E">
        <w:rPr>
          <w:sz w:val="28"/>
          <w:szCs w:val="28"/>
        </w:rPr>
        <w:t xml:space="preserve"> Е</w:t>
      </w:r>
      <w:proofErr w:type="gramEnd"/>
      <w:r w:rsidRPr="00E5479E">
        <w:rPr>
          <w:sz w:val="28"/>
          <w:szCs w:val="28"/>
        </w:rPr>
        <w:t>, бария сульфат и ультрадисперсный гидроксиапатит, легированный серебром, оказывает значительный антибактериальный эффект, иммунокоригирующее и антиоксидантное действие, и в 2-5 раз снижает частоту развития обострения з</w:t>
      </w:r>
      <w:r w:rsidRPr="00E5479E">
        <w:rPr>
          <w:sz w:val="28"/>
          <w:szCs w:val="28"/>
        </w:rPr>
        <w:t>а</w:t>
      </w:r>
      <w:r w:rsidRPr="00E5479E">
        <w:rPr>
          <w:sz w:val="28"/>
          <w:szCs w:val="28"/>
        </w:rPr>
        <w:t>болевания в течение 24 месяцев.</w:t>
      </w:r>
    </w:p>
    <w:p w:rsidR="0019442B" w:rsidRPr="00E5479E" w:rsidRDefault="0019442B" w:rsidP="0019442B">
      <w:pPr>
        <w:jc w:val="center"/>
        <w:rPr>
          <w:sz w:val="28"/>
          <w:szCs w:val="28"/>
        </w:rPr>
      </w:pPr>
      <w:r>
        <w:rPr>
          <w:sz w:val="28"/>
          <w:szCs w:val="28"/>
        </w:rPr>
        <w:br w:type="page"/>
      </w:r>
      <w:r w:rsidRPr="00E5479E">
        <w:rPr>
          <w:sz w:val="28"/>
          <w:szCs w:val="28"/>
        </w:rPr>
        <w:lastRenderedPageBreak/>
        <w:t>ПРАКТИЧЕСКИЕ РЕКОМЕНДАЦИИ</w:t>
      </w:r>
    </w:p>
    <w:p w:rsidR="0019442B" w:rsidRPr="00E5479E" w:rsidRDefault="0019442B" w:rsidP="0019442B">
      <w:pPr>
        <w:rPr>
          <w:sz w:val="28"/>
          <w:szCs w:val="28"/>
        </w:rPr>
      </w:pPr>
    </w:p>
    <w:p w:rsidR="0019442B" w:rsidRPr="00E5479E" w:rsidRDefault="0019442B" w:rsidP="0019442B">
      <w:pPr>
        <w:rPr>
          <w:sz w:val="28"/>
          <w:szCs w:val="28"/>
        </w:rPr>
      </w:pPr>
    </w:p>
    <w:p w:rsidR="0019442B" w:rsidRPr="00E5479E" w:rsidRDefault="0019442B" w:rsidP="0019442B">
      <w:pPr>
        <w:rPr>
          <w:sz w:val="28"/>
          <w:szCs w:val="28"/>
        </w:rPr>
      </w:pPr>
    </w:p>
    <w:p w:rsidR="0019442B" w:rsidRPr="00E5479E" w:rsidRDefault="0019442B" w:rsidP="00DA0CD3">
      <w:pPr>
        <w:numPr>
          <w:ilvl w:val="0"/>
          <w:numId w:val="69"/>
        </w:numPr>
        <w:suppressAutoHyphens w:val="0"/>
        <w:spacing w:line="360" w:lineRule="auto"/>
        <w:jc w:val="both"/>
        <w:rPr>
          <w:sz w:val="28"/>
          <w:szCs w:val="28"/>
        </w:rPr>
      </w:pPr>
      <w:r w:rsidRPr="00E5479E">
        <w:rPr>
          <w:sz w:val="28"/>
          <w:szCs w:val="28"/>
        </w:rPr>
        <w:t>При лечении хронического гранулирующего периодонтита временное пломбирование корневых каналов зубов рекомендуем проводить комп</w:t>
      </w:r>
      <w:r w:rsidRPr="00E5479E">
        <w:rPr>
          <w:sz w:val="28"/>
          <w:szCs w:val="28"/>
        </w:rPr>
        <w:t>о</w:t>
      </w:r>
      <w:r w:rsidRPr="00E5479E">
        <w:rPr>
          <w:sz w:val="28"/>
          <w:szCs w:val="28"/>
        </w:rPr>
        <w:t>зицией, содержащей (в массовых %): масляный раствор вит</w:t>
      </w:r>
      <w:r w:rsidRPr="00E5479E">
        <w:rPr>
          <w:sz w:val="28"/>
          <w:szCs w:val="28"/>
        </w:rPr>
        <w:t>а</w:t>
      </w:r>
      <w:r w:rsidRPr="00E5479E">
        <w:rPr>
          <w:sz w:val="28"/>
          <w:szCs w:val="28"/>
        </w:rPr>
        <w:t>мина</w:t>
      </w:r>
      <w:proofErr w:type="gramStart"/>
      <w:r w:rsidRPr="00E5479E">
        <w:rPr>
          <w:sz w:val="28"/>
          <w:szCs w:val="28"/>
        </w:rPr>
        <w:t xml:space="preserve"> Е</w:t>
      </w:r>
      <w:proofErr w:type="gramEnd"/>
      <w:r w:rsidRPr="00E5479E">
        <w:rPr>
          <w:sz w:val="28"/>
          <w:szCs w:val="28"/>
        </w:rPr>
        <w:t xml:space="preserve"> – 25, бария сульфат – 25, ультрадисперсный гидроксиапатит, легированный серебром – 25, ме</w:t>
      </w:r>
      <w:r w:rsidRPr="00E5479E">
        <w:rPr>
          <w:sz w:val="28"/>
          <w:szCs w:val="28"/>
        </w:rPr>
        <w:t>т</w:t>
      </w:r>
      <w:r w:rsidRPr="00E5479E">
        <w:rPr>
          <w:sz w:val="28"/>
          <w:szCs w:val="28"/>
        </w:rPr>
        <w:t>ронидазол – 25.</w:t>
      </w:r>
    </w:p>
    <w:p w:rsidR="0019442B" w:rsidRPr="00E5479E" w:rsidRDefault="0019442B" w:rsidP="00DA0CD3">
      <w:pPr>
        <w:numPr>
          <w:ilvl w:val="0"/>
          <w:numId w:val="69"/>
        </w:numPr>
        <w:suppressAutoHyphens w:val="0"/>
        <w:spacing w:line="360" w:lineRule="auto"/>
        <w:jc w:val="both"/>
        <w:rPr>
          <w:sz w:val="28"/>
          <w:szCs w:val="28"/>
        </w:rPr>
      </w:pPr>
      <w:r w:rsidRPr="00E5479E">
        <w:rPr>
          <w:sz w:val="28"/>
          <w:szCs w:val="28"/>
        </w:rPr>
        <w:t>Санацию корневого канала поражённого зуба при хроническом периодо</w:t>
      </w:r>
      <w:r w:rsidRPr="00E5479E">
        <w:rPr>
          <w:sz w:val="28"/>
          <w:szCs w:val="28"/>
        </w:rPr>
        <w:t>н</w:t>
      </w:r>
      <w:r w:rsidRPr="00E5479E">
        <w:rPr>
          <w:sz w:val="28"/>
          <w:szCs w:val="28"/>
        </w:rPr>
        <w:t>тите рекомендуем проводить в три этапа. На первом этапе следует ос</w:t>
      </w:r>
      <w:r w:rsidRPr="00E5479E">
        <w:rPr>
          <w:sz w:val="28"/>
          <w:szCs w:val="28"/>
        </w:rPr>
        <w:t>у</w:t>
      </w:r>
      <w:r w:rsidRPr="00E5479E">
        <w:rPr>
          <w:sz w:val="28"/>
          <w:szCs w:val="28"/>
        </w:rPr>
        <w:t>ществлять первичную инструментальную обработку и ирригацию, на вт</w:t>
      </w:r>
      <w:r w:rsidRPr="00E5479E">
        <w:rPr>
          <w:sz w:val="28"/>
          <w:szCs w:val="28"/>
        </w:rPr>
        <w:t>о</w:t>
      </w:r>
      <w:r w:rsidRPr="00E5479E">
        <w:rPr>
          <w:sz w:val="28"/>
          <w:szCs w:val="28"/>
        </w:rPr>
        <w:t xml:space="preserve">ром этапе – ещё раз санировать канал, на третьем этапе – устанавливать постоянную пломбу. </w:t>
      </w:r>
    </w:p>
    <w:p w:rsidR="0019442B" w:rsidRPr="00E5479E" w:rsidRDefault="0019442B" w:rsidP="0019442B">
      <w:pPr>
        <w:shd w:val="clear" w:color="auto" w:fill="FFFFFF"/>
        <w:jc w:val="center"/>
        <w:outlineLvl w:val="0"/>
        <w:rPr>
          <w:b/>
          <w:color w:val="000000"/>
          <w:sz w:val="28"/>
          <w:szCs w:val="28"/>
        </w:rPr>
      </w:pPr>
      <w:r>
        <w:rPr>
          <w:b/>
          <w:color w:val="000000"/>
          <w:sz w:val="28"/>
          <w:szCs w:val="28"/>
        </w:rPr>
        <w:br w:type="page"/>
      </w:r>
      <w:r w:rsidRPr="00E5479E">
        <w:rPr>
          <w:b/>
          <w:color w:val="000000"/>
          <w:sz w:val="28"/>
          <w:szCs w:val="28"/>
        </w:rPr>
        <w:lastRenderedPageBreak/>
        <w:t>СПИСОК ИСПОЛЬЗОВАННЫХ ПЕРВОИСТОЧНИКОВ</w:t>
      </w:r>
    </w:p>
    <w:p w:rsidR="0019442B" w:rsidRPr="00E5479E" w:rsidRDefault="0019442B" w:rsidP="0019442B">
      <w:pPr>
        <w:shd w:val="clear" w:color="auto" w:fill="FFFFFF"/>
        <w:jc w:val="center"/>
        <w:rPr>
          <w:b/>
          <w:color w:val="000000"/>
          <w:sz w:val="28"/>
          <w:szCs w:val="28"/>
        </w:rPr>
      </w:pPr>
    </w:p>
    <w:p w:rsidR="0019442B" w:rsidRPr="00E5479E" w:rsidRDefault="0019442B" w:rsidP="0019442B">
      <w:pPr>
        <w:shd w:val="clear" w:color="auto" w:fill="FFFFFF"/>
        <w:jc w:val="center"/>
        <w:rPr>
          <w:b/>
          <w:color w:val="000000"/>
          <w:sz w:val="28"/>
          <w:szCs w:val="28"/>
        </w:rPr>
      </w:pPr>
    </w:p>
    <w:p w:rsidR="0019442B" w:rsidRPr="00E5479E" w:rsidRDefault="0019442B" w:rsidP="0019442B">
      <w:pPr>
        <w:shd w:val="clear" w:color="auto" w:fill="FFFFFF"/>
        <w:jc w:val="center"/>
        <w:rPr>
          <w:b/>
          <w:color w:val="000000"/>
          <w:sz w:val="28"/>
          <w:szCs w:val="28"/>
        </w:rPr>
      </w:pPr>
    </w:p>
    <w:p w:rsidR="0019442B" w:rsidRPr="00E5479E" w:rsidRDefault="0019442B" w:rsidP="00DA0CD3">
      <w:pPr>
        <w:numPr>
          <w:ilvl w:val="0"/>
          <w:numId w:val="70"/>
        </w:numPr>
        <w:suppressAutoHyphens w:val="0"/>
        <w:spacing w:line="360" w:lineRule="auto"/>
        <w:jc w:val="both"/>
        <w:rPr>
          <w:sz w:val="28"/>
        </w:rPr>
      </w:pPr>
      <w:r w:rsidRPr="00E5479E">
        <w:rPr>
          <w:sz w:val="28"/>
          <w:lang w:val="uk-UA"/>
        </w:rPr>
        <w:t>Авдоніна Л.І. Мікробіологічні паралелі досліджень вогнищ інфекції навколозубної тканини та нирок за даними автопсії / Л.І. Авд</w:t>
      </w:r>
      <w:r w:rsidRPr="00E5479E">
        <w:rPr>
          <w:sz w:val="28"/>
          <w:lang w:val="uk-UA"/>
        </w:rPr>
        <w:t>о</w:t>
      </w:r>
      <w:r w:rsidRPr="00E5479E">
        <w:rPr>
          <w:sz w:val="28"/>
          <w:lang w:val="uk-UA"/>
        </w:rPr>
        <w:t>ніна, Н.В. Прийма // Галицький лікарський вісник. – 2004. – № 2. – С. 15-17.</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 xml:space="preserve">Алпатова В.Г. </w:t>
      </w:r>
      <w:r w:rsidRPr="00E5479E">
        <w:rPr>
          <w:sz w:val="28"/>
          <w:szCs w:val="28"/>
        </w:rPr>
        <w:t>Клинико-морфологические особенности лечения хронического деструктивного верхушечного периодонтита</w:t>
      </w:r>
      <w:r w:rsidRPr="00E5479E">
        <w:rPr>
          <w:sz w:val="28"/>
          <w:szCs w:val="28"/>
          <w:lang w:val="uk-UA"/>
        </w:rPr>
        <w:t>: авт</w:t>
      </w:r>
      <w:r w:rsidRPr="00E5479E">
        <w:rPr>
          <w:sz w:val="28"/>
          <w:szCs w:val="28"/>
          <w:lang w:val="uk-UA"/>
        </w:rPr>
        <w:t>о</w:t>
      </w:r>
      <w:r w:rsidRPr="00E5479E">
        <w:rPr>
          <w:sz w:val="28"/>
          <w:szCs w:val="28"/>
          <w:lang w:val="uk-UA"/>
        </w:rPr>
        <w:t>реф. дис. на здобуття наук. ступеня канд. мед. наук: спец. 14.01.22 «Ст</w:t>
      </w:r>
      <w:r w:rsidRPr="00E5479E">
        <w:rPr>
          <w:sz w:val="28"/>
          <w:szCs w:val="28"/>
          <w:lang w:val="uk-UA"/>
        </w:rPr>
        <w:t>о</w:t>
      </w:r>
      <w:r w:rsidRPr="00E5479E">
        <w:rPr>
          <w:sz w:val="28"/>
          <w:szCs w:val="28"/>
          <w:lang w:val="uk-UA"/>
        </w:rPr>
        <w:t>матологія» / В.Г. Алпатова. – Волгоград, 2000. – 18 с.</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Андреева Л.И. Модификация метода определения перекисей лип</w:t>
      </w:r>
      <w:r w:rsidRPr="00E5479E">
        <w:rPr>
          <w:sz w:val="28"/>
          <w:szCs w:val="28"/>
        </w:rPr>
        <w:t>и</w:t>
      </w:r>
      <w:r w:rsidRPr="00E5479E">
        <w:rPr>
          <w:sz w:val="28"/>
          <w:szCs w:val="28"/>
        </w:rPr>
        <w:t>дов в тесте с тиобарбитуровой кислотой / Л.И. Андреева, Л.А. Кожемякин, А.А. Кишкин // Лабораторное дело. – 1988. – № 11. – С. 41-43.</w:t>
      </w:r>
    </w:p>
    <w:p w:rsidR="0019442B" w:rsidRPr="00E5479E" w:rsidRDefault="0019442B" w:rsidP="00DA0CD3">
      <w:pPr>
        <w:numPr>
          <w:ilvl w:val="0"/>
          <w:numId w:val="70"/>
        </w:numPr>
        <w:suppressAutoHyphens w:val="0"/>
        <w:spacing w:line="360" w:lineRule="auto"/>
        <w:jc w:val="both"/>
        <w:rPr>
          <w:sz w:val="28"/>
          <w:szCs w:val="28"/>
          <w:lang w:val="uk-UA"/>
        </w:rPr>
      </w:pPr>
      <w:r w:rsidRPr="00E5479E">
        <w:rPr>
          <w:sz w:val="28"/>
          <w:szCs w:val="28"/>
          <w:lang w:val="uk-UA"/>
        </w:rPr>
        <w:t>Антикомплементарна активність грамнегативних умовно-патогенних бактерій – збудників гнійно-запальних захворювань / І.С. Гайдаш, В.В. Флегонтова, Р.В. Бондарев [та ін.] // Буковинс</w:t>
      </w:r>
      <w:r w:rsidRPr="00E5479E">
        <w:rPr>
          <w:sz w:val="28"/>
          <w:szCs w:val="28"/>
          <w:lang w:val="uk-UA"/>
        </w:rPr>
        <w:t>ь</w:t>
      </w:r>
      <w:r w:rsidRPr="00E5479E">
        <w:rPr>
          <w:sz w:val="28"/>
          <w:szCs w:val="28"/>
          <w:lang w:val="uk-UA"/>
        </w:rPr>
        <w:t>кий медичний вісник. – 2001. – № 4. – С. 42-45.</w:t>
      </w:r>
    </w:p>
    <w:p w:rsidR="0019442B" w:rsidRPr="0019442B" w:rsidRDefault="0019442B" w:rsidP="00DA0CD3">
      <w:pPr>
        <w:numPr>
          <w:ilvl w:val="0"/>
          <w:numId w:val="70"/>
        </w:numPr>
        <w:suppressAutoHyphens w:val="0"/>
        <w:spacing w:line="360" w:lineRule="auto"/>
        <w:jc w:val="both"/>
        <w:rPr>
          <w:sz w:val="28"/>
          <w:lang w:val="uk-UA"/>
        </w:rPr>
      </w:pPr>
      <w:r w:rsidRPr="00E5479E">
        <w:rPr>
          <w:sz w:val="28"/>
          <w:lang w:val="uk-UA"/>
        </w:rPr>
        <w:t>Апоптозіндукуюча активність пептидогліканів та тейхоєвих кислот грампозитивних збудників гнійно-запальних захворювань у хірургі</w:t>
      </w:r>
      <w:r w:rsidRPr="00E5479E">
        <w:rPr>
          <w:sz w:val="28"/>
          <w:lang w:val="uk-UA"/>
        </w:rPr>
        <w:t>ч</w:t>
      </w:r>
      <w:r w:rsidRPr="00E5479E">
        <w:rPr>
          <w:sz w:val="28"/>
          <w:lang w:val="uk-UA"/>
        </w:rPr>
        <w:t xml:space="preserve">них хворих / І.С. Гайдаш, В.В. Флегонтова, Є.В. Суглобов </w:t>
      </w:r>
      <w:r w:rsidRPr="0019442B">
        <w:rPr>
          <w:sz w:val="28"/>
          <w:lang w:val="uk-UA"/>
        </w:rPr>
        <w:t>[</w:t>
      </w:r>
      <w:r w:rsidRPr="00E5479E">
        <w:rPr>
          <w:sz w:val="28"/>
          <w:lang w:val="uk-UA"/>
        </w:rPr>
        <w:t>та ін.</w:t>
      </w:r>
      <w:r w:rsidRPr="0019442B">
        <w:rPr>
          <w:sz w:val="28"/>
          <w:lang w:val="uk-UA"/>
        </w:rPr>
        <w:t>]</w:t>
      </w:r>
      <w:r w:rsidRPr="00E5479E">
        <w:rPr>
          <w:sz w:val="28"/>
          <w:lang w:val="uk-UA"/>
        </w:rPr>
        <w:t xml:space="preserve"> // </w:t>
      </w:r>
      <w:r w:rsidRPr="0019442B">
        <w:rPr>
          <w:sz w:val="28"/>
          <w:lang w:val="uk-UA"/>
        </w:rPr>
        <w:t>Вестник гигиены и эпидемиологии. – 2001. – № 1. – С. 70-73.</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Барер Г.М. Влияние местного применения комплекса антибактериал</w:t>
      </w:r>
      <w:r w:rsidRPr="00E5479E">
        <w:rPr>
          <w:sz w:val="28"/>
          <w:szCs w:val="28"/>
        </w:rPr>
        <w:t>ь</w:t>
      </w:r>
      <w:r w:rsidRPr="00E5479E">
        <w:rPr>
          <w:sz w:val="28"/>
          <w:szCs w:val="28"/>
        </w:rPr>
        <w:t>ных препаратов на течение хронического периодонтита / Г.М. Барер, В.В. Кочержинский, И.А. Овчинникова // Клиническая стоматология. – 1997. – № 3. – С. 12-14.</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Барер Г.М. Комплексное антибактериальное лечение апикального периодонтита / Г.М. Барер, В.Н. Царев, И.Л. Овчинникова // Кл</w:t>
      </w:r>
      <w:r w:rsidRPr="00E5479E">
        <w:rPr>
          <w:sz w:val="28"/>
          <w:szCs w:val="28"/>
        </w:rPr>
        <w:t>и</w:t>
      </w:r>
      <w:r w:rsidRPr="00E5479E">
        <w:rPr>
          <w:sz w:val="28"/>
          <w:szCs w:val="28"/>
        </w:rPr>
        <w:t>ническая стоматология. – 1999. – № 1. – С. 18-22.</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 xml:space="preserve">Бонсор С.Дж. Современные возможности клинического применения фотоактивируемой дезинфекции в реставрационной стоматологии / С.Дж. </w:t>
      </w:r>
      <w:r w:rsidRPr="00E5479E">
        <w:rPr>
          <w:sz w:val="28"/>
          <w:szCs w:val="28"/>
        </w:rPr>
        <w:lastRenderedPageBreak/>
        <w:t>Бонсор, Г.Дж. Пирсон // Клиническая стоматология. – 2007. – № 1. – С. 24-27.</w:t>
      </w:r>
    </w:p>
    <w:p w:rsidR="0019442B" w:rsidRPr="00E5479E" w:rsidRDefault="0019442B" w:rsidP="00DA0CD3">
      <w:pPr>
        <w:numPr>
          <w:ilvl w:val="0"/>
          <w:numId w:val="70"/>
        </w:numPr>
        <w:suppressAutoHyphens w:val="0"/>
        <w:spacing w:line="360" w:lineRule="auto"/>
        <w:jc w:val="both"/>
        <w:rPr>
          <w:sz w:val="28"/>
        </w:rPr>
      </w:pPr>
      <w:r w:rsidRPr="00E5479E">
        <w:rPr>
          <w:sz w:val="28"/>
        </w:rPr>
        <w:t>Борисенко А.В. Материал для пломбирования корневых каналов / А.В. Борисенко, Д.Н. Полозок, В.А. Дубок // Современная стоматология. – 2003. – № 4. – С. 15-16.</w:t>
      </w:r>
    </w:p>
    <w:p w:rsidR="0019442B" w:rsidRPr="00E5479E" w:rsidRDefault="0019442B" w:rsidP="00DA0CD3">
      <w:pPr>
        <w:numPr>
          <w:ilvl w:val="0"/>
          <w:numId w:val="70"/>
        </w:numPr>
        <w:suppressAutoHyphens w:val="0"/>
        <w:spacing w:line="360" w:lineRule="auto"/>
        <w:jc w:val="both"/>
        <w:rPr>
          <w:sz w:val="28"/>
        </w:rPr>
      </w:pPr>
      <w:proofErr w:type="gramStart"/>
      <w:r w:rsidRPr="00E5479E">
        <w:rPr>
          <w:sz w:val="28"/>
          <w:szCs w:val="28"/>
        </w:rPr>
        <w:t>Боровский</w:t>
      </w:r>
      <w:proofErr w:type="gramEnd"/>
      <w:r w:rsidRPr="00E5479E">
        <w:rPr>
          <w:sz w:val="28"/>
          <w:szCs w:val="28"/>
        </w:rPr>
        <w:t xml:space="preserve"> Е.В. Лечение осложнений кариеса зубов: проблемы и их решение / Е.В. Боровский // Стоматология. – 1999. – № 1. – С. 21-24.</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Боровский Е.В. Отказ от пломбирования корневого канала методом о</w:t>
      </w:r>
      <w:r w:rsidRPr="00E5479E">
        <w:rPr>
          <w:sz w:val="28"/>
          <w:szCs w:val="28"/>
        </w:rPr>
        <w:t>д</w:t>
      </w:r>
      <w:r w:rsidRPr="00E5479E">
        <w:rPr>
          <w:sz w:val="28"/>
          <w:szCs w:val="28"/>
        </w:rPr>
        <w:t>ной пасты – неотложная задача эндодонтии / Е.В. Боровский, Л.Ю. Мылзенова // Клиническая стоматология. – 2000. – № 4. – С. 18-20.</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Бородин О.А. Лечение периодонтитов “</w:t>
      </w:r>
      <w:r w:rsidRPr="00E5479E">
        <w:rPr>
          <w:sz w:val="28"/>
          <w:szCs w:val="28"/>
          <w:lang w:val="en-US"/>
        </w:rPr>
        <w:t>Calasept</w:t>
      </w:r>
      <w:r w:rsidRPr="00E5479E">
        <w:rPr>
          <w:sz w:val="28"/>
          <w:szCs w:val="28"/>
        </w:rPr>
        <w:t xml:space="preserve">” / О.А. Бородин, А.А. Девятов, Б.В. Шеплев // </w:t>
      </w:r>
      <w:r w:rsidRPr="00E5479E">
        <w:rPr>
          <w:sz w:val="28"/>
          <w:szCs w:val="28"/>
          <w:lang w:val="en-US"/>
        </w:rPr>
        <w:t>DentMaster</w:t>
      </w:r>
      <w:r w:rsidRPr="00E5479E">
        <w:rPr>
          <w:sz w:val="28"/>
          <w:szCs w:val="28"/>
        </w:rPr>
        <w:t>. – 1999. – № 1. – С. 10-11.</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Бризено Б. Мануальное препарирование корневого канала / Б. Бризено // Клиническая стоматология. – 1999. – № 3. – С.12-17.</w:t>
      </w:r>
    </w:p>
    <w:p w:rsidR="0019442B" w:rsidRPr="00E5479E" w:rsidRDefault="0019442B" w:rsidP="00DA0CD3">
      <w:pPr>
        <w:widowControl w:val="0"/>
        <w:numPr>
          <w:ilvl w:val="0"/>
          <w:numId w:val="70"/>
        </w:numPr>
        <w:shd w:val="clear" w:color="auto" w:fill="FFFFFF"/>
        <w:suppressAutoHyphens w:val="0"/>
        <w:spacing w:line="360" w:lineRule="auto"/>
        <w:jc w:val="both"/>
        <w:rPr>
          <w:b/>
          <w:sz w:val="28"/>
          <w:szCs w:val="28"/>
        </w:rPr>
      </w:pPr>
      <w:r w:rsidRPr="00E5479E">
        <w:rPr>
          <w:b/>
          <w:sz w:val="28"/>
          <w:szCs w:val="28"/>
        </w:rPr>
        <w:t>Бухарин О.В. Лизоцим и его роль в биологии и медицине / О.В. Бух</w:t>
      </w:r>
      <w:r w:rsidRPr="00E5479E">
        <w:rPr>
          <w:b/>
          <w:sz w:val="28"/>
          <w:szCs w:val="28"/>
        </w:rPr>
        <w:t>а</w:t>
      </w:r>
      <w:r w:rsidRPr="00E5479E">
        <w:rPr>
          <w:b/>
          <w:sz w:val="28"/>
          <w:szCs w:val="28"/>
        </w:rPr>
        <w:t>рин, Н.В. Васильев. – Томск: Издательство Томского университета, 1974. – 207 с.</w:t>
      </w:r>
    </w:p>
    <w:p w:rsidR="0019442B" w:rsidRPr="00E5479E" w:rsidRDefault="0019442B" w:rsidP="00DA0CD3">
      <w:pPr>
        <w:widowControl w:val="0"/>
        <w:numPr>
          <w:ilvl w:val="0"/>
          <w:numId w:val="70"/>
        </w:numPr>
        <w:shd w:val="clear" w:color="auto" w:fill="FFFFFF"/>
        <w:suppressAutoHyphens w:val="0"/>
        <w:spacing w:line="360" w:lineRule="auto"/>
        <w:jc w:val="both"/>
        <w:rPr>
          <w:b/>
          <w:sz w:val="28"/>
          <w:szCs w:val="28"/>
          <w:lang w:val="uk-UA"/>
        </w:rPr>
      </w:pPr>
      <w:r w:rsidRPr="00E5479E">
        <w:rPr>
          <w:b/>
          <w:sz w:val="28"/>
          <w:szCs w:val="28"/>
        </w:rPr>
        <w:t>Влияние липополисахаридов бактерий на секреторную активность м</w:t>
      </w:r>
      <w:r w:rsidRPr="00E5479E">
        <w:rPr>
          <w:b/>
          <w:sz w:val="28"/>
          <w:szCs w:val="28"/>
        </w:rPr>
        <w:t>о</w:t>
      </w:r>
      <w:r w:rsidRPr="00E5479E">
        <w:rPr>
          <w:b/>
          <w:sz w:val="28"/>
          <w:szCs w:val="28"/>
        </w:rPr>
        <w:t xml:space="preserve">ноцитов / </w:t>
      </w:r>
      <w:r w:rsidRPr="00E5479E">
        <w:rPr>
          <w:b/>
          <w:sz w:val="28"/>
          <w:szCs w:val="28"/>
          <w:lang w:val="uk-UA"/>
        </w:rPr>
        <w:t xml:space="preserve">Н.К. Казимирко, В.М. Шанько, И.С. Гайдаш [и др.] // Тези доповідей наукової конференції «Четверті читання імені В.В. </w:t>
      </w:r>
      <w:proofErr w:type="gramStart"/>
      <w:r w:rsidRPr="00E5479E">
        <w:rPr>
          <w:b/>
          <w:sz w:val="28"/>
          <w:szCs w:val="28"/>
          <w:lang w:val="uk-UA"/>
        </w:rPr>
        <w:t>П</w:t>
      </w:r>
      <w:proofErr w:type="gramEnd"/>
      <w:r w:rsidRPr="00E5479E">
        <w:rPr>
          <w:b/>
          <w:sz w:val="28"/>
          <w:szCs w:val="28"/>
          <w:lang w:val="uk-UA"/>
        </w:rPr>
        <w:t>ідвисоцьк</w:t>
      </w:r>
      <w:r w:rsidRPr="00E5479E">
        <w:rPr>
          <w:b/>
          <w:sz w:val="28"/>
          <w:szCs w:val="28"/>
          <w:lang w:val="uk-UA"/>
        </w:rPr>
        <w:t>о</w:t>
      </w:r>
      <w:r w:rsidRPr="00E5479E">
        <w:rPr>
          <w:b/>
          <w:sz w:val="28"/>
          <w:szCs w:val="28"/>
          <w:lang w:val="uk-UA"/>
        </w:rPr>
        <w:t>го», 26-27 травня 2005 р. – Одеса, 2005. – С. 46-47.</w:t>
      </w:r>
    </w:p>
    <w:p w:rsidR="0019442B" w:rsidRPr="00E5479E" w:rsidRDefault="0019442B" w:rsidP="00DA0CD3">
      <w:pPr>
        <w:widowControl w:val="0"/>
        <w:numPr>
          <w:ilvl w:val="0"/>
          <w:numId w:val="70"/>
        </w:numPr>
        <w:shd w:val="clear" w:color="auto" w:fill="FFFFFF"/>
        <w:suppressAutoHyphens w:val="0"/>
        <w:spacing w:line="360" w:lineRule="auto"/>
        <w:jc w:val="both"/>
        <w:rPr>
          <w:b/>
          <w:sz w:val="28"/>
          <w:szCs w:val="28"/>
        </w:rPr>
      </w:pPr>
      <w:r w:rsidRPr="00E5479E">
        <w:rPr>
          <w:b/>
          <w:sz w:val="28"/>
          <w:szCs w:val="28"/>
        </w:rPr>
        <w:t xml:space="preserve">Гайдаш И.С. Микробиоценоз ротовой полости в норме / И.С. Гайдаш, В.В. Флегонтова, М.Ю. Инкелевич // Український медичний альманах. – 2002. – № 5. – С. 30-32. </w:t>
      </w:r>
    </w:p>
    <w:p w:rsidR="0019442B" w:rsidRPr="00E5479E" w:rsidRDefault="0019442B" w:rsidP="00DA0CD3">
      <w:pPr>
        <w:numPr>
          <w:ilvl w:val="0"/>
          <w:numId w:val="70"/>
        </w:numPr>
        <w:suppressAutoHyphens w:val="0"/>
        <w:spacing w:line="360" w:lineRule="auto"/>
        <w:jc w:val="both"/>
        <w:rPr>
          <w:sz w:val="28"/>
          <w:lang w:val="uk-UA"/>
        </w:rPr>
      </w:pPr>
      <w:r w:rsidRPr="00E5479E">
        <w:rPr>
          <w:sz w:val="28"/>
          <w:lang w:val="uk-UA"/>
        </w:rPr>
        <w:t>Гайдаш І.С. Антикомплементарна та антилізоцимна активність збудн</w:t>
      </w:r>
      <w:r w:rsidRPr="00E5479E">
        <w:rPr>
          <w:sz w:val="28"/>
          <w:lang w:val="uk-UA"/>
        </w:rPr>
        <w:t>и</w:t>
      </w:r>
      <w:r w:rsidRPr="00E5479E">
        <w:rPr>
          <w:sz w:val="28"/>
          <w:lang w:val="uk-UA"/>
        </w:rPr>
        <w:t>ків внутрішньогоспітальних інфекцій / І.С. Гайдаш, В.В. Флегонтова, А.Ю. Волянський, Р.І. Сидорчук // Науковий вісник Ужгородського державного університету, серія «Медицина». – 2000. - № 11. – С. 112-114.</w:t>
      </w:r>
    </w:p>
    <w:p w:rsidR="0019442B" w:rsidRPr="00E5479E" w:rsidRDefault="0019442B" w:rsidP="00DA0CD3">
      <w:pPr>
        <w:numPr>
          <w:ilvl w:val="0"/>
          <w:numId w:val="70"/>
        </w:numPr>
        <w:suppressAutoHyphens w:val="0"/>
        <w:spacing w:line="360" w:lineRule="auto"/>
        <w:jc w:val="both"/>
        <w:rPr>
          <w:sz w:val="28"/>
          <w:lang w:val="uk-UA"/>
        </w:rPr>
      </w:pPr>
      <w:r w:rsidRPr="00E5479E">
        <w:rPr>
          <w:sz w:val="28"/>
          <w:lang w:val="uk-UA"/>
        </w:rPr>
        <w:t>Гайдаш І.С. Апоптозіндукуюча активність ліпополісахаридів збу</w:t>
      </w:r>
      <w:r w:rsidRPr="00E5479E">
        <w:rPr>
          <w:sz w:val="28"/>
          <w:lang w:val="uk-UA"/>
        </w:rPr>
        <w:t>д</w:t>
      </w:r>
      <w:r w:rsidRPr="00E5479E">
        <w:rPr>
          <w:sz w:val="28"/>
          <w:lang w:val="uk-UA"/>
        </w:rPr>
        <w:t xml:space="preserve">ників гнійно-запальних захворювань у хірургічних хворих / І.С. Гайдаш, В.В. </w:t>
      </w:r>
      <w:r w:rsidRPr="00E5479E">
        <w:rPr>
          <w:sz w:val="28"/>
          <w:lang w:val="uk-UA"/>
        </w:rPr>
        <w:lastRenderedPageBreak/>
        <w:t>Флегонтова, Є.В. Суглобов // Вісник морської мед</w:t>
      </w:r>
      <w:r w:rsidRPr="00E5479E">
        <w:rPr>
          <w:sz w:val="28"/>
          <w:lang w:val="uk-UA"/>
        </w:rPr>
        <w:t>и</w:t>
      </w:r>
      <w:r w:rsidRPr="00E5479E">
        <w:rPr>
          <w:sz w:val="28"/>
          <w:lang w:val="uk-UA"/>
        </w:rPr>
        <w:t>цини. – 2000. – № 3. - С. 24-28.</w:t>
      </w:r>
    </w:p>
    <w:p w:rsidR="0019442B" w:rsidRPr="0019442B" w:rsidRDefault="0019442B" w:rsidP="00DA0CD3">
      <w:pPr>
        <w:numPr>
          <w:ilvl w:val="0"/>
          <w:numId w:val="70"/>
        </w:numPr>
        <w:suppressAutoHyphens w:val="0"/>
        <w:spacing w:line="360" w:lineRule="auto"/>
        <w:jc w:val="both"/>
        <w:rPr>
          <w:sz w:val="28"/>
          <w:szCs w:val="28"/>
          <w:lang w:val="uk-UA"/>
        </w:rPr>
      </w:pPr>
      <w:r w:rsidRPr="0019442B">
        <w:rPr>
          <w:sz w:val="28"/>
          <w:szCs w:val="28"/>
          <w:lang w:val="uk-UA"/>
        </w:rPr>
        <w:t>Гаук А.Г. Застосування кальцієтропного препарату при ендодонтичн</w:t>
      </w:r>
      <w:r w:rsidRPr="0019442B">
        <w:rPr>
          <w:sz w:val="28"/>
          <w:szCs w:val="28"/>
          <w:lang w:val="uk-UA"/>
        </w:rPr>
        <w:t>о</w:t>
      </w:r>
      <w:r w:rsidRPr="0019442B">
        <w:rPr>
          <w:sz w:val="28"/>
          <w:szCs w:val="28"/>
          <w:lang w:val="uk-UA"/>
        </w:rPr>
        <w:t>му лікуванні верхівкових періодонтитів / А.Г. Гаук, І.О. Пшик // Нов</w:t>
      </w:r>
      <w:r w:rsidRPr="0019442B">
        <w:rPr>
          <w:sz w:val="28"/>
          <w:szCs w:val="28"/>
          <w:lang w:val="uk-UA"/>
        </w:rPr>
        <w:t>и</w:t>
      </w:r>
      <w:r w:rsidRPr="0019442B">
        <w:rPr>
          <w:sz w:val="28"/>
          <w:szCs w:val="28"/>
          <w:lang w:val="uk-UA"/>
        </w:rPr>
        <w:t>ни стоматології. – 2005. – № 4. – С. 20-22.</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Гирин С.В. Модификация метода определения активности каталазы в биологических субстратах / С.В. Гирин // Лабораторная диа</w:t>
      </w:r>
      <w:r w:rsidRPr="00E5479E">
        <w:rPr>
          <w:sz w:val="28"/>
          <w:szCs w:val="28"/>
        </w:rPr>
        <w:t>г</w:t>
      </w:r>
      <w:r w:rsidRPr="00E5479E">
        <w:rPr>
          <w:sz w:val="28"/>
          <w:szCs w:val="28"/>
        </w:rPr>
        <w:t>ностика. – 1999. – № 4. – С. 45-46.</w:t>
      </w:r>
    </w:p>
    <w:p w:rsidR="0019442B" w:rsidRPr="00E5479E" w:rsidRDefault="0019442B" w:rsidP="00DA0CD3">
      <w:pPr>
        <w:numPr>
          <w:ilvl w:val="0"/>
          <w:numId w:val="70"/>
        </w:numPr>
        <w:suppressAutoHyphens w:val="0"/>
        <w:spacing w:line="360" w:lineRule="auto"/>
        <w:jc w:val="both"/>
        <w:rPr>
          <w:sz w:val="28"/>
        </w:rPr>
      </w:pPr>
      <w:r w:rsidRPr="00E5479E">
        <w:rPr>
          <w:sz w:val="28"/>
          <w:lang w:val="uk-UA"/>
        </w:rPr>
        <w:t>Гоголь А.М. Показники температурного градієнта при хронічному гранулюючому періодонтиті тимчасових молярів / А.М. Гоголь // Украї</w:t>
      </w:r>
      <w:r w:rsidRPr="00E5479E">
        <w:rPr>
          <w:sz w:val="28"/>
          <w:lang w:val="uk-UA"/>
        </w:rPr>
        <w:t>н</w:t>
      </w:r>
      <w:r w:rsidRPr="00E5479E">
        <w:rPr>
          <w:sz w:val="28"/>
          <w:lang w:val="uk-UA"/>
        </w:rPr>
        <w:t>ський стоматологічний альманах. – 2006. – № 3. – С. 43.</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Гречишников В.И. Иммунологическая эффективность лечения хрон</w:t>
      </w:r>
      <w:r w:rsidRPr="00E5479E">
        <w:rPr>
          <w:b/>
          <w:sz w:val="28"/>
        </w:rPr>
        <w:t>и</w:t>
      </w:r>
      <w:r w:rsidRPr="00E5479E">
        <w:rPr>
          <w:b/>
          <w:sz w:val="28"/>
        </w:rPr>
        <w:t>ческих деструктивных верхушечных периодонтитов / В.И. Гречишн</w:t>
      </w:r>
      <w:r w:rsidRPr="00E5479E">
        <w:rPr>
          <w:b/>
          <w:sz w:val="28"/>
        </w:rPr>
        <w:t>и</w:t>
      </w:r>
      <w:r w:rsidRPr="00E5479E">
        <w:rPr>
          <w:b/>
          <w:sz w:val="28"/>
        </w:rPr>
        <w:t>ков, М.Ю. Федзко, В.И. Кращук // Сборник научных трудов учёных-стоматологов Юга России «Новое в теории и практике ст</w:t>
      </w:r>
      <w:r w:rsidRPr="00E5479E">
        <w:rPr>
          <w:b/>
          <w:sz w:val="28"/>
        </w:rPr>
        <w:t>о</w:t>
      </w:r>
      <w:r w:rsidRPr="00E5479E">
        <w:rPr>
          <w:b/>
          <w:sz w:val="28"/>
        </w:rPr>
        <w:t>матологии». – Ставрополь. – 2002. – С. 126-127.</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Давыдова Н.Н. Лечение хронического периодонтита ферментами в с</w:t>
      </w:r>
      <w:r w:rsidRPr="00E5479E">
        <w:rPr>
          <w:sz w:val="28"/>
          <w:szCs w:val="28"/>
        </w:rPr>
        <w:t>о</w:t>
      </w:r>
      <w:r w:rsidRPr="00E5479E">
        <w:rPr>
          <w:sz w:val="28"/>
          <w:szCs w:val="28"/>
        </w:rPr>
        <w:t>четании с антибиотиками / Н.Н. Давыдова, Н.А. Куличкина // Сборник научных трудов «Актуальные вопросы стоматологии». – Самара. – 1992. – С. 68-69.</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Дегтярёва Л.А. Анализ методов оценки состояния околоверхушечных тканей зуба при хроническом периодонтите / Л.А. Дегтярева, Л.И. А</w:t>
      </w:r>
      <w:r w:rsidRPr="00E5479E">
        <w:rPr>
          <w:sz w:val="28"/>
          <w:szCs w:val="28"/>
        </w:rPr>
        <w:t>в</w:t>
      </w:r>
      <w:r w:rsidRPr="00E5479E">
        <w:rPr>
          <w:sz w:val="28"/>
          <w:szCs w:val="28"/>
        </w:rPr>
        <w:t xml:space="preserve">донина // </w:t>
      </w:r>
      <w:r w:rsidRPr="00E5479E">
        <w:rPr>
          <w:sz w:val="28"/>
          <w:szCs w:val="28"/>
          <w:lang w:val="uk-UA"/>
        </w:rPr>
        <w:t>Український стоматологічний альманах. – 2005. – № 3. – С. 22-26.</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Дегтярёва Л.А. Комплексная оценка состояния околоверхушечных тк</w:t>
      </w:r>
      <w:r w:rsidRPr="00E5479E">
        <w:rPr>
          <w:sz w:val="28"/>
          <w:szCs w:val="28"/>
        </w:rPr>
        <w:t>а</w:t>
      </w:r>
      <w:r w:rsidRPr="00E5479E">
        <w:rPr>
          <w:sz w:val="28"/>
          <w:szCs w:val="28"/>
        </w:rPr>
        <w:t>ней зуба при хроническом верхушечном периодонтите // Современная стом</w:t>
      </w:r>
      <w:r w:rsidRPr="00E5479E">
        <w:rPr>
          <w:sz w:val="28"/>
          <w:szCs w:val="28"/>
        </w:rPr>
        <w:t>а</w:t>
      </w:r>
      <w:r w:rsidRPr="00E5479E">
        <w:rPr>
          <w:sz w:val="28"/>
          <w:szCs w:val="28"/>
        </w:rPr>
        <w:t>тология. – 2006. – № 1. – С. 19-22.</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Деньга О.В. Антиоксидантно-прооксидантная система десны при эк</w:t>
      </w:r>
      <w:r w:rsidRPr="00E5479E">
        <w:rPr>
          <w:sz w:val="28"/>
          <w:szCs w:val="28"/>
        </w:rPr>
        <w:t>с</w:t>
      </w:r>
      <w:r w:rsidRPr="00E5479E">
        <w:rPr>
          <w:sz w:val="28"/>
          <w:szCs w:val="28"/>
        </w:rPr>
        <w:t xml:space="preserve">периментальном периодонтите и его лечении / О.В. Деньга, Л.Б. Цевух, А.П. Левицкий // </w:t>
      </w:r>
      <w:r w:rsidRPr="00E5479E">
        <w:rPr>
          <w:sz w:val="28"/>
          <w:szCs w:val="28"/>
          <w:lang w:val="uk-UA"/>
        </w:rPr>
        <w:t>Український стоматологічний альманах. – 2008. – № 2. – С. 10-11.</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lastRenderedPageBreak/>
        <w:t>Деньга О.В.</w:t>
      </w:r>
      <w:r w:rsidRPr="00E5479E">
        <w:rPr>
          <w:sz w:val="28"/>
          <w:szCs w:val="28"/>
          <w:lang w:val="uk-UA"/>
        </w:rPr>
        <w:t xml:space="preserve"> </w:t>
      </w:r>
      <w:r w:rsidRPr="00E5479E">
        <w:rPr>
          <w:sz w:val="28"/>
          <w:szCs w:val="28"/>
        </w:rPr>
        <w:t>Биохимические показатели тканей периодонта при экспериментальной терапии периодонта / О.В. Деньга, Л.Б. Цевух, А.П. Л</w:t>
      </w:r>
      <w:r w:rsidRPr="00E5479E">
        <w:rPr>
          <w:sz w:val="28"/>
          <w:szCs w:val="28"/>
        </w:rPr>
        <w:t>е</w:t>
      </w:r>
      <w:r w:rsidRPr="00E5479E">
        <w:rPr>
          <w:sz w:val="28"/>
          <w:szCs w:val="28"/>
        </w:rPr>
        <w:t xml:space="preserve">вицкий // </w:t>
      </w:r>
      <w:proofErr w:type="gramStart"/>
      <w:r w:rsidRPr="00E5479E">
        <w:rPr>
          <w:sz w:val="28"/>
          <w:szCs w:val="28"/>
          <w:lang w:val="uk-UA"/>
        </w:rPr>
        <w:t>В</w:t>
      </w:r>
      <w:proofErr w:type="gramEnd"/>
      <w:r w:rsidRPr="00E5479E">
        <w:rPr>
          <w:sz w:val="28"/>
          <w:szCs w:val="28"/>
          <w:lang w:val="uk-UA"/>
        </w:rPr>
        <w:t>існик стоматології. – 2007. – № 4. – С. 40-44.</w:t>
      </w:r>
    </w:p>
    <w:p w:rsidR="0019442B" w:rsidRPr="00E5479E" w:rsidRDefault="0019442B" w:rsidP="00DA0CD3">
      <w:pPr>
        <w:numPr>
          <w:ilvl w:val="0"/>
          <w:numId w:val="70"/>
        </w:numPr>
        <w:suppressAutoHyphens w:val="0"/>
        <w:spacing w:line="360" w:lineRule="auto"/>
        <w:jc w:val="both"/>
        <w:rPr>
          <w:sz w:val="28"/>
          <w:szCs w:val="28"/>
        </w:rPr>
      </w:pPr>
      <w:r w:rsidRPr="00E5479E">
        <w:rPr>
          <w:sz w:val="28"/>
          <w:lang w:val="uk-UA"/>
        </w:rPr>
        <w:t>Дидик Н.М. Ендодонтичне лікування та поширеність верхівкового періодонтиту в дорослого населення м. Львова / Н.М. Дидик, Я.В. Заболоц</w:t>
      </w:r>
      <w:r w:rsidRPr="00E5479E">
        <w:rPr>
          <w:sz w:val="28"/>
          <w:lang w:val="uk-UA"/>
        </w:rPr>
        <w:t>ь</w:t>
      </w:r>
      <w:r w:rsidRPr="00E5479E">
        <w:rPr>
          <w:sz w:val="28"/>
          <w:lang w:val="uk-UA"/>
        </w:rPr>
        <w:t xml:space="preserve">кий // Новини стоматології. – 2006. </w:t>
      </w:r>
      <w:r w:rsidRPr="00E5479E">
        <w:rPr>
          <w:sz w:val="28"/>
          <w:szCs w:val="28"/>
          <w:lang w:val="uk-UA"/>
        </w:rPr>
        <w:t>–</w:t>
      </w:r>
      <w:r w:rsidRPr="00E5479E">
        <w:rPr>
          <w:sz w:val="28"/>
          <w:lang w:val="uk-UA"/>
        </w:rPr>
        <w:t xml:space="preserve"> № 1. – С. 14-20.</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Дубинина Е.Е. Активность и изоферментный спектр супероксиддисм</w:t>
      </w:r>
      <w:r w:rsidRPr="00E5479E">
        <w:rPr>
          <w:sz w:val="28"/>
          <w:szCs w:val="28"/>
        </w:rPr>
        <w:t>у</w:t>
      </w:r>
      <w:r w:rsidRPr="00E5479E">
        <w:rPr>
          <w:sz w:val="28"/>
          <w:szCs w:val="28"/>
        </w:rPr>
        <w:t>тазы эритроцитов и плазмы крови человека / Е.Е. Дубинина, Л.А. Сальникова, Л.Ф. Ефимова // Лабораторное дело. – 1983. – № 10. – С. 30-33.</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Жаркова О.А.</w:t>
      </w:r>
      <w:r w:rsidRPr="00E5479E">
        <w:rPr>
          <w:sz w:val="28"/>
          <w:szCs w:val="28"/>
          <w:lang w:val="uk-UA"/>
        </w:rPr>
        <w:t xml:space="preserve"> </w:t>
      </w:r>
      <w:r w:rsidRPr="00E5479E">
        <w:rPr>
          <w:sz w:val="28"/>
          <w:szCs w:val="28"/>
        </w:rPr>
        <w:t>Комбинированная иммунотерапия больных хрон</w:t>
      </w:r>
      <w:r w:rsidRPr="00E5479E">
        <w:rPr>
          <w:sz w:val="28"/>
          <w:szCs w:val="28"/>
        </w:rPr>
        <w:t>и</w:t>
      </w:r>
      <w:r w:rsidRPr="00E5479E">
        <w:rPr>
          <w:sz w:val="28"/>
          <w:szCs w:val="28"/>
        </w:rPr>
        <w:t>ческим генерализованным периодонтитом / О.А. Жаркова // И</w:t>
      </w:r>
      <w:r w:rsidRPr="00E5479E">
        <w:rPr>
          <w:sz w:val="28"/>
          <w:szCs w:val="28"/>
        </w:rPr>
        <w:t>м</w:t>
      </w:r>
      <w:r w:rsidRPr="00E5479E">
        <w:rPr>
          <w:sz w:val="28"/>
          <w:szCs w:val="28"/>
        </w:rPr>
        <w:t>мунопатология, аллергология, и</w:t>
      </w:r>
      <w:r w:rsidRPr="00E5479E">
        <w:rPr>
          <w:sz w:val="28"/>
          <w:szCs w:val="28"/>
        </w:rPr>
        <w:t>н</w:t>
      </w:r>
      <w:r w:rsidRPr="00E5479E">
        <w:rPr>
          <w:sz w:val="28"/>
          <w:szCs w:val="28"/>
        </w:rPr>
        <w:t>фектология. – 2006. – № 2. – С. 6-13.</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Жаркова О.А. Оценка клинико-иммунологической эффективности использования ликопида в комплексном лечении хронического генерал</w:t>
      </w:r>
      <w:r w:rsidRPr="00E5479E">
        <w:rPr>
          <w:sz w:val="28"/>
          <w:szCs w:val="28"/>
        </w:rPr>
        <w:t>и</w:t>
      </w:r>
      <w:r w:rsidRPr="00E5479E">
        <w:rPr>
          <w:sz w:val="28"/>
          <w:szCs w:val="28"/>
        </w:rPr>
        <w:t>зованного периодонтита / О.А. Жаркова // Иммунопатология, аллерг</w:t>
      </w:r>
      <w:r w:rsidRPr="00E5479E">
        <w:rPr>
          <w:sz w:val="28"/>
          <w:szCs w:val="28"/>
        </w:rPr>
        <w:t>о</w:t>
      </w:r>
      <w:r w:rsidRPr="00E5479E">
        <w:rPr>
          <w:sz w:val="28"/>
          <w:szCs w:val="28"/>
        </w:rPr>
        <w:t>логия, инфектология. – 2005. – № 4. – С. 19-22.</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lang w:val="uk-UA"/>
        </w:rPr>
        <w:t>Зубачик В.М. Застосування антиоксидантів у комплексному лікуванні хронічних верхівкових періодонтитів / В.М. Зубачик, В.В. Синиця, Ю.В. Сулим, М.В. Мисик // Український стоматологічний альманах. – 2003. – № 3. – С. 14-15.</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 xml:space="preserve">Зубок Д.И. Клинико-морфологические особенности периапикальных деструктивных процессов / Д.И. Зубок // </w:t>
      </w:r>
      <w:proofErr w:type="gramStart"/>
      <w:r w:rsidRPr="00E5479E">
        <w:rPr>
          <w:sz w:val="28"/>
          <w:szCs w:val="28"/>
          <w:lang w:val="uk-UA"/>
        </w:rPr>
        <w:t>В</w:t>
      </w:r>
      <w:proofErr w:type="gramEnd"/>
      <w:r w:rsidRPr="00E5479E">
        <w:rPr>
          <w:sz w:val="28"/>
          <w:szCs w:val="28"/>
          <w:lang w:val="uk-UA"/>
        </w:rPr>
        <w:t>існик стоматології. – 2001. – № 4. – С. 32-34.</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Иванов Ю.И. Статистическая обработка результатов м</w:t>
      </w:r>
      <w:r w:rsidRPr="00E5479E">
        <w:rPr>
          <w:sz w:val="28"/>
          <w:szCs w:val="28"/>
        </w:rPr>
        <w:t>е</w:t>
      </w:r>
      <w:r w:rsidRPr="00E5479E">
        <w:rPr>
          <w:sz w:val="28"/>
          <w:szCs w:val="28"/>
        </w:rPr>
        <w:t>дико-биологических исследований на микрокалькуляторах по програ</w:t>
      </w:r>
      <w:r w:rsidRPr="00E5479E">
        <w:rPr>
          <w:sz w:val="28"/>
          <w:szCs w:val="28"/>
        </w:rPr>
        <w:t>м</w:t>
      </w:r>
      <w:r w:rsidRPr="00E5479E">
        <w:rPr>
          <w:sz w:val="28"/>
          <w:szCs w:val="28"/>
        </w:rPr>
        <w:t>мам / Ю.И. Иванов, О.Н. Погорелюк. – М.: Медицина, 1990. – 220 с.</w:t>
      </w:r>
    </w:p>
    <w:p w:rsidR="0019442B" w:rsidRPr="00E5479E" w:rsidRDefault="0019442B" w:rsidP="00DA0CD3">
      <w:pPr>
        <w:numPr>
          <w:ilvl w:val="0"/>
          <w:numId w:val="70"/>
        </w:numPr>
        <w:suppressAutoHyphens w:val="0"/>
        <w:spacing w:line="360" w:lineRule="auto"/>
        <w:jc w:val="both"/>
        <w:rPr>
          <w:sz w:val="28"/>
          <w:lang w:val="uk-UA"/>
        </w:rPr>
      </w:pPr>
      <w:r w:rsidRPr="00E5479E">
        <w:rPr>
          <w:sz w:val="28"/>
        </w:rPr>
        <w:t>Ивашкевич Л.Г. Некоторые аспекты современного подхода к леч</w:t>
      </w:r>
      <w:r w:rsidRPr="00E5479E">
        <w:rPr>
          <w:sz w:val="28"/>
        </w:rPr>
        <w:t>е</w:t>
      </w:r>
      <w:r w:rsidRPr="00E5479E">
        <w:rPr>
          <w:sz w:val="28"/>
        </w:rPr>
        <w:t xml:space="preserve">нию периодонтита / Л.Г. Ивашкевич // </w:t>
      </w:r>
      <w:r w:rsidRPr="00E5479E">
        <w:rPr>
          <w:sz w:val="28"/>
          <w:lang w:val="uk-UA"/>
        </w:rPr>
        <w:t>Лікарська справа. – 1993. – № 2-3. – С. 131-134.</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 xml:space="preserve">Иорданишвили А.К. Хирургическое лечение зубов с хроническими периапикальными очагами одонтогенной инфекции (анатомическое, </w:t>
      </w:r>
      <w:r w:rsidRPr="00E5479E">
        <w:rPr>
          <w:sz w:val="28"/>
          <w:szCs w:val="28"/>
        </w:rPr>
        <w:lastRenderedPageBreak/>
        <w:t>экспериментальное и клиническое исследование)</w:t>
      </w:r>
      <w:r w:rsidRPr="00E5479E">
        <w:rPr>
          <w:sz w:val="28"/>
          <w:szCs w:val="28"/>
          <w:lang w:val="uk-UA"/>
        </w:rPr>
        <w:t>: автореф. дис. на здобу</w:t>
      </w:r>
      <w:r w:rsidRPr="00E5479E">
        <w:rPr>
          <w:sz w:val="28"/>
          <w:szCs w:val="28"/>
          <w:lang w:val="uk-UA"/>
        </w:rPr>
        <w:t>т</w:t>
      </w:r>
      <w:r w:rsidRPr="00E5479E">
        <w:rPr>
          <w:sz w:val="28"/>
          <w:szCs w:val="28"/>
          <w:lang w:val="uk-UA"/>
        </w:rPr>
        <w:t>тя наук</w:t>
      </w:r>
      <w:proofErr w:type="gramStart"/>
      <w:r w:rsidRPr="00E5479E">
        <w:rPr>
          <w:sz w:val="28"/>
          <w:szCs w:val="28"/>
          <w:lang w:val="uk-UA"/>
        </w:rPr>
        <w:t>.</w:t>
      </w:r>
      <w:proofErr w:type="gramEnd"/>
      <w:r w:rsidRPr="00E5479E">
        <w:rPr>
          <w:sz w:val="28"/>
          <w:szCs w:val="28"/>
          <w:lang w:val="uk-UA"/>
        </w:rPr>
        <w:t xml:space="preserve"> </w:t>
      </w:r>
      <w:proofErr w:type="gramStart"/>
      <w:r w:rsidRPr="00E5479E">
        <w:rPr>
          <w:sz w:val="28"/>
          <w:szCs w:val="28"/>
          <w:lang w:val="uk-UA"/>
        </w:rPr>
        <w:t>с</w:t>
      </w:r>
      <w:proofErr w:type="gramEnd"/>
      <w:r w:rsidRPr="00E5479E">
        <w:rPr>
          <w:sz w:val="28"/>
          <w:szCs w:val="28"/>
          <w:lang w:val="uk-UA"/>
        </w:rPr>
        <w:t>тупеня канд. мед. наук: спец. 14.01.22 «Стоматологія» / А.К. Ио</w:t>
      </w:r>
      <w:r w:rsidRPr="00E5479E">
        <w:rPr>
          <w:sz w:val="28"/>
          <w:szCs w:val="28"/>
          <w:lang w:val="uk-UA"/>
        </w:rPr>
        <w:t>р</w:t>
      </w:r>
      <w:r w:rsidRPr="00E5479E">
        <w:rPr>
          <w:sz w:val="28"/>
          <w:szCs w:val="28"/>
          <w:lang w:val="uk-UA"/>
        </w:rPr>
        <w:t>данишвили. – С.-Пб., 1993. – 19 с.</w:t>
      </w:r>
    </w:p>
    <w:p w:rsidR="0019442B" w:rsidRPr="00E5479E" w:rsidRDefault="0019442B" w:rsidP="00DA0CD3">
      <w:pPr>
        <w:numPr>
          <w:ilvl w:val="0"/>
          <w:numId w:val="70"/>
        </w:numPr>
        <w:suppressAutoHyphens w:val="0"/>
        <w:spacing w:line="360" w:lineRule="auto"/>
        <w:jc w:val="both"/>
        <w:rPr>
          <w:sz w:val="28"/>
          <w:szCs w:val="28"/>
          <w:lang w:val="uk-UA"/>
        </w:rPr>
      </w:pPr>
      <w:r w:rsidRPr="00E5479E">
        <w:rPr>
          <w:sz w:val="28"/>
          <w:szCs w:val="28"/>
          <w:lang w:val="uk-UA"/>
        </w:rPr>
        <w:t>Імуносупресивні властивості пептидогліканів грампозитивних збудн</w:t>
      </w:r>
      <w:r w:rsidRPr="00E5479E">
        <w:rPr>
          <w:sz w:val="28"/>
          <w:szCs w:val="28"/>
          <w:lang w:val="uk-UA"/>
        </w:rPr>
        <w:t>и</w:t>
      </w:r>
      <w:r w:rsidRPr="00E5479E">
        <w:rPr>
          <w:sz w:val="28"/>
          <w:szCs w:val="28"/>
          <w:lang w:val="uk-UA"/>
        </w:rPr>
        <w:t>ків абдомінальних гнійно-запальних інфекцій хірургічного профілю / І.С. Гайдаш, В.В. Флегонтова, Р.І. Сидорчук [та ін.] // Інфекційні хв</w:t>
      </w:r>
      <w:r w:rsidRPr="00E5479E">
        <w:rPr>
          <w:sz w:val="28"/>
          <w:szCs w:val="28"/>
          <w:lang w:val="uk-UA"/>
        </w:rPr>
        <w:t>о</w:t>
      </w:r>
      <w:r w:rsidRPr="00E5479E">
        <w:rPr>
          <w:sz w:val="28"/>
          <w:szCs w:val="28"/>
          <w:lang w:val="uk-UA"/>
        </w:rPr>
        <w:t>роби. – 2001. – № 3. – С. 55-58.</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Кабак Ю.С. Распространённость, рентгенологические и морфологич</w:t>
      </w:r>
      <w:r w:rsidRPr="00E5479E">
        <w:rPr>
          <w:sz w:val="28"/>
          <w:szCs w:val="28"/>
        </w:rPr>
        <w:t>е</w:t>
      </w:r>
      <w:r w:rsidRPr="00E5479E">
        <w:rPr>
          <w:sz w:val="28"/>
          <w:szCs w:val="28"/>
        </w:rPr>
        <w:t>ские проявления хронического и апикального периодонтита и отдалё</w:t>
      </w:r>
      <w:r w:rsidRPr="00E5479E">
        <w:rPr>
          <w:sz w:val="28"/>
          <w:szCs w:val="28"/>
        </w:rPr>
        <w:t>н</w:t>
      </w:r>
      <w:r w:rsidRPr="00E5479E">
        <w:rPr>
          <w:sz w:val="28"/>
          <w:szCs w:val="28"/>
        </w:rPr>
        <w:t>ные результаты его консервативного лечения</w:t>
      </w:r>
      <w:r w:rsidRPr="00E5479E">
        <w:rPr>
          <w:sz w:val="28"/>
          <w:szCs w:val="28"/>
          <w:lang w:val="uk-UA"/>
        </w:rPr>
        <w:t>: автореф. дис. на здобу</w:t>
      </w:r>
      <w:r w:rsidRPr="00E5479E">
        <w:rPr>
          <w:sz w:val="28"/>
          <w:szCs w:val="28"/>
          <w:lang w:val="uk-UA"/>
        </w:rPr>
        <w:t>т</w:t>
      </w:r>
      <w:r w:rsidRPr="00E5479E">
        <w:rPr>
          <w:sz w:val="28"/>
          <w:szCs w:val="28"/>
          <w:lang w:val="uk-UA"/>
        </w:rPr>
        <w:t>тя наук</w:t>
      </w:r>
      <w:proofErr w:type="gramStart"/>
      <w:r w:rsidRPr="00E5479E">
        <w:rPr>
          <w:sz w:val="28"/>
          <w:szCs w:val="28"/>
          <w:lang w:val="uk-UA"/>
        </w:rPr>
        <w:t>.</w:t>
      </w:r>
      <w:proofErr w:type="gramEnd"/>
      <w:r w:rsidRPr="00E5479E">
        <w:rPr>
          <w:sz w:val="28"/>
          <w:szCs w:val="28"/>
          <w:lang w:val="uk-UA"/>
        </w:rPr>
        <w:t xml:space="preserve"> </w:t>
      </w:r>
      <w:proofErr w:type="gramStart"/>
      <w:r w:rsidRPr="00E5479E">
        <w:rPr>
          <w:sz w:val="28"/>
          <w:szCs w:val="28"/>
          <w:lang w:val="uk-UA"/>
        </w:rPr>
        <w:t>с</w:t>
      </w:r>
      <w:proofErr w:type="gramEnd"/>
      <w:r w:rsidRPr="00E5479E">
        <w:rPr>
          <w:sz w:val="28"/>
          <w:szCs w:val="28"/>
          <w:lang w:val="uk-UA"/>
        </w:rPr>
        <w:t xml:space="preserve">тупеня канд. мед. наук: спец. 14.01.22 «Стоматологія» / </w:t>
      </w:r>
      <w:r w:rsidRPr="00E5479E">
        <w:rPr>
          <w:sz w:val="28"/>
          <w:szCs w:val="28"/>
        </w:rPr>
        <w:t>Ю.С. К</w:t>
      </w:r>
      <w:r w:rsidRPr="00E5479E">
        <w:rPr>
          <w:sz w:val="28"/>
          <w:szCs w:val="28"/>
        </w:rPr>
        <w:t>а</w:t>
      </w:r>
      <w:r w:rsidRPr="00E5479E">
        <w:rPr>
          <w:sz w:val="28"/>
          <w:szCs w:val="28"/>
        </w:rPr>
        <w:t>бак. – Минск, 2005. – 20 с.</w:t>
      </w:r>
    </w:p>
    <w:p w:rsidR="0019442B" w:rsidRPr="00E5479E" w:rsidRDefault="0019442B" w:rsidP="00DA0CD3">
      <w:pPr>
        <w:numPr>
          <w:ilvl w:val="0"/>
          <w:numId w:val="70"/>
        </w:numPr>
        <w:suppressAutoHyphens w:val="0"/>
        <w:spacing w:line="360" w:lineRule="auto"/>
        <w:jc w:val="both"/>
        <w:rPr>
          <w:sz w:val="28"/>
          <w:lang w:val="uk-UA"/>
        </w:rPr>
      </w:pPr>
      <w:r w:rsidRPr="00E5479E">
        <w:rPr>
          <w:sz w:val="28"/>
          <w:lang w:val="uk-UA"/>
        </w:rPr>
        <w:t>Казімірко Н.К. Ефективність етапного методу лікування зубів з періапікальною деструкцією / Н.К. Казімірко, Т.А. Чала // Світ мед</w:t>
      </w:r>
      <w:r w:rsidRPr="00E5479E">
        <w:rPr>
          <w:sz w:val="28"/>
          <w:lang w:val="uk-UA"/>
        </w:rPr>
        <w:t>и</w:t>
      </w:r>
      <w:r w:rsidRPr="00E5479E">
        <w:rPr>
          <w:sz w:val="28"/>
          <w:lang w:val="uk-UA"/>
        </w:rPr>
        <w:t>цини та біол</w:t>
      </w:r>
      <w:r w:rsidRPr="00E5479E">
        <w:rPr>
          <w:sz w:val="28"/>
          <w:lang w:val="uk-UA"/>
        </w:rPr>
        <w:t>о</w:t>
      </w:r>
      <w:r w:rsidRPr="00E5479E">
        <w:rPr>
          <w:sz w:val="28"/>
          <w:lang w:val="uk-UA"/>
        </w:rPr>
        <w:t>гії. – 2008. – № 3. – С. 29-31.</w:t>
      </w:r>
    </w:p>
    <w:p w:rsidR="0019442B" w:rsidRPr="00E5479E" w:rsidRDefault="0019442B" w:rsidP="00DA0CD3">
      <w:pPr>
        <w:numPr>
          <w:ilvl w:val="0"/>
          <w:numId w:val="70"/>
        </w:numPr>
        <w:suppressAutoHyphens w:val="0"/>
        <w:spacing w:line="360" w:lineRule="auto"/>
        <w:jc w:val="both"/>
        <w:rPr>
          <w:sz w:val="28"/>
        </w:rPr>
      </w:pPr>
      <w:r w:rsidRPr="00E5479E">
        <w:rPr>
          <w:sz w:val="28"/>
        </w:rPr>
        <w:t>Каминский Л.С. Статистическая обработка лабораторных и клинич</w:t>
      </w:r>
      <w:r w:rsidRPr="00E5479E">
        <w:rPr>
          <w:sz w:val="28"/>
        </w:rPr>
        <w:t>е</w:t>
      </w:r>
      <w:r w:rsidRPr="00E5479E">
        <w:rPr>
          <w:sz w:val="28"/>
        </w:rPr>
        <w:t>ских данных / Л.С. Каминский. – Л.: Медицина, 1964. – 252 с.</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Колмакова И. Клиническая оценка эффективности ультразвуковой обработки корневых каналов при пульпитах и хронических периодонт</w:t>
      </w:r>
      <w:r w:rsidRPr="00E5479E">
        <w:rPr>
          <w:sz w:val="28"/>
          <w:szCs w:val="28"/>
        </w:rPr>
        <w:t>и</w:t>
      </w:r>
      <w:r w:rsidRPr="00E5479E">
        <w:rPr>
          <w:sz w:val="28"/>
          <w:szCs w:val="28"/>
        </w:rPr>
        <w:t xml:space="preserve">тах / И. Колмакова // Дент-Арт. – 2004. </w:t>
      </w:r>
      <w:r w:rsidRPr="00E5479E">
        <w:rPr>
          <w:sz w:val="28"/>
        </w:rPr>
        <w:t>–</w:t>
      </w:r>
      <w:r w:rsidRPr="00E5479E">
        <w:rPr>
          <w:sz w:val="28"/>
          <w:szCs w:val="28"/>
        </w:rPr>
        <w:t xml:space="preserve"> № 2. – С. 37-40.</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Королюк М.А. Метод определения активности каталазы / М.А. Кор</w:t>
      </w:r>
      <w:r w:rsidRPr="00E5479E">
        <w:rPr>
          <w:sz w:val="28"/>
          <w:szCs w:val="28"/>
        </w:rPr>
        <w:t>о</w:t>
      </w:r>
      <w:r w:rsidRPr="00E5479E">
        <w:rPr>
          <w:sz w:val="28"/>
          <w:szCs w:val="28"/>
        </w:rPr>
        <w:t xml:space="preserve">люк, Л.И. Иванова, И.Г. Майорова, В.Е. Токарев // Лабораторное дело. – 1988. – № 1. – С. 16-19. </w:t>
      </w:r>
    </w:p>
    <w:p w:rsidR="0019442B" w:rsidRPr="00E5479E" w:rsidRDefault="0019442B" w:rsidP="00DA0CD3">
      <w:pPr>
        <w:widowControl w:val="0"/>
        <w:numPr>
          <w:ilvl w:val="0"/>
          <w:numId w:val="70"/>
        </w:numPr>
        <w:shd w:val="clear" w:color="auto" w:fill="FFFFFF"/>
        <w:suppressAutoHyphens w:val="0"/>
        <w:spacing w:line="360" w:lineRule="auto"/>
        <w:jc w:val="both"/>
        <w:rPr>
          <w:b/>
          <w:sz w:val="28"/>
          <w:szCs w:val="28"/>
          <w:lang w:val="uk-UA"/>
        </w:rPr>
      </w:pPr>
      <w:r w:rsidRPr="00E5479E">
        <w:rPr>
          <w:b/>
          <w:sz w:val="28"/>
          <w:szCs w:val="28"/>
        </w:rPr>
        <w:t>Косенко Ю.В. Влияние липополисахаридов бактерий – этиологич</w:t>
      </w:r>
      <w:r w:rsidRPr="00E5479E">
        <w:rPr>
          <w:b/>
          <w:sz w:val="28"/>
          <w:szCs w:val="28"/>
        </w:rPr>
        <w:t>е</w:t>
      </w:r>
      <w:r w:rsidRPr="00E5479E">
        <w:rPr>
          <w:b/>
          <w:sz w:val="28"/>
          <w:szCs w:val="28"/>
        </w:rPr>
        <w:t xml:space="preserve">ских агентов </w:t>
      </w:r>
      <w:proofErr w:type="gramStart"/>
      <w:r w:rsidRPr="00E5479E">
        <w:rPr>
          <w:b/>
          <w:sz w:val="28"/>
          <w:szCs w:val="28"/>
        </w:rPr>
        <w:t>хронического</w:t>
      </w:r>
      <w:proofErr w:type="gramEnd"/>
      <w:r w:rsidRPr="00E5479E">
        <w:rPr>
          <w:b/>
          <w:sz w:val="28"/>
          <w:szCs w:val="28"/>
        </w:rPr>
        <w:t xml:space="preserve"> пародонтита у беременных на секреторную а</w:t>
      </w:r>
      <w:r w:rsidRPr="00E5479E">
        <w:rPr>
          <w:b/>
          <w:sz w:val="28"/>
          <w:szCs w:val="28"/>
        </w:rPr>
        <w:t>к</w:t>
      </w:r>
      <w:r w:rsidRPr="00E5479E">
        <w:rPr>
          <w:b/>
          <w:sz w:val="28"/>
          <w:szCs w:val="28"/>
        </w:rPr>
        <w:t>тивность моноцитов и лимфоцитов</w:t>
      </w:r>
      <w:r w:rsidRPr="00E5479E">
        <w:rPr>
          <w:b/>
          <w:sz w:val="28"/>
          <w:szCs w:val="28"/>
          <w:lang w:val="uk-UA"/>
        </w:rPr>
        <w:t xml:space="preserve"> in vitro / Ю.В. Косенко // Український медичний альм</w:t>
      </w:r>
      <w:r w:rsidRPr="00E5479E">
        <w:rPr>
          <w:b/>
          <w:sz w:val="28"/>
          <w:szCs w:val="28"/>
          <w:lang w:val="uk-UA"/>
        </w:rPr>
        <w:t>а</w:t>
      </w:r>
      <w:r w:rsidRPr="00E5479E">
        <w:rPr>
          <w:b/>
          <w:sz w:val="28"/>
          <w:szCs w:val="28"/>
          <w:lang w:val="uk-UA"/>
        </w:rPr>
        <w:t>нах. – 2005. – № 6. – С. 199-202.</w:t>
      </w:r>
    </w:p>
    <w:p w:rsidR="0019442B" w:rsidRPr="00E5479E" w:rsidRDefault="0019442B" w:rsidP="00DA0CD3">
      <w:pPr>
        <w:widowControl w:val="0"/>
        <w:numPr>
          <w:ilvl w:val="0"/>
          <w:numId w:val="70"/>
        </w:numPr>
        <w:shd w:val="clear" w:color="auto" w:fill="FFFFFF"/>
        <w:suppressAutoHyphens w:val="0"/>
        <w:spacing w:line="360" w:lineRule="auto"/>
        <w:jc w:val="both"/>
        <w:rPr>
          <w:b/>
          <w:sz w:val="28"/>
          <w:szCs w:val="28"/>
          <w:lang w:val="uk-UA"/>
        </w:rPr>
      </w:pPr>
      <w:r w:rsidRPr="00E5479E">
        <w:rPr>
          <w:b/>
          <w:sz w:val="28"/>
          <w:szCs w:val="28"/>
          <w:lang w:val="uk-UA"/>
        </w:rPr>
        <w:t>Косенко Ю.В. Влияние липополисахаридов бактерий на апоптоз мон</w:t>
      </w:r>
      <w:r w:rsidRPr="00E5479E">
        <w:rPr>
          <w:b/>
          <w:sz w:val="28"/>
          <w:szCs w:val="28"/>
          <w:lang w:val="uk-UA"/>
        </w:rPr>
        <w:t>о</w:t>
      </w:r>
      <w:r w:rsidRPr="00E5479E">
        <w:rPr>
          <w:b/>
          <w:sz w:val="28"/>
          <w:szCs w:val="28"/>
          <w:lang w:val="uk-UA"/>
        </w:rPr>
        <w:t>цитов / Ю.В. Косенко // Український медичний альманах. – 2004. – № 6. – С. 66-68.</w:t>
      </w:r>
    </w:p>
    <w:p w:rsidR="0019442B" w:rsidRPr="00E5479E" w:rsidRDefault="0019442B" w:rsidP="00DA0CD3">
      <w:pPr>
        <w:widowControl w:val="0"/>
        <w:numPr>
          <w:ilvl w:val="0"/>
          <w:numId w:val="70"/>
        </w:numPr>
        <w:shd w:val="clear" w:color="auto" w:fill="FFFFFF"/>
        <w:suppressAutoHyphens w:val="0"/>
        <w:spacing w:line="360" w:lineRule="auto"/>
        <w:jc w:val="both"/>
        <w:rPr>
          <w:b/>
          <w:sz w:val="28"/>
          <w:szCs w:val="28"/>
          <w:lang w:val="uk-UA"/>
        </w:rPr>
      </w:pPr>
      <w:r w:rsidRPr="00E5479E">
        <w:rPr>
          <w:b/>
          <w:sz w:val="28"/>
          <w:szCs w:val="28"/>
          <w:lang w:val="uk-UA"/>
        </w:rPr>
        <w:lastRenderedPageBreak/>
        <w:t>Косенко Ю.В. Влияние липополисахаридов этиологических агентов хронического пародонтита на фагоцитарную активность м</w:t>
      </w:r>
      <w:r w:rsidRPr="00E5479E">
        <w:rPr>
          <w:b/>
          <w:sz w:val="28"/>
          <w:szCs w:val="28"/>
          <w:lang w:val="uk-UA"/>
        </w:rPr>
        <w:t>о</w:t>
      </w:r>
      <w:r w:rsidRPr="00E5479E">
        <w:rPr>
          <w:b/>
          <w:sz w:val="28"/>
          <w:szCs w:val="28"/>
          <w:lang w:val="uk-UA"/>
        </w:rPr>
        <w:t>ноцитов / Ю.В. Косенко // Український медичний альманах. – 2005. – № 5. – С. 66-68.</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Котелевська Н.В. Лікування хворих на гострий гнійний та загос</w:t>
      </w:r>
      <w:r w:rsidRPr="00E5479E">
        <w:rPr>
          <w:sz w:val="28"/>
          <w:szCs w:val="28"/>
          <w:lang w:val="uk-UA"/>
        </w:rPr>
        <w:t>т</w:t>
      </w:r>
      <w:r w:rsidRPr="00E5479E">
        <w:rPr>
          <w:sz w:val="28"/>
          <w:szCs w:val="28"/>
          <w:lang w:val="uk-UA"/>
        </w:rPr>
        <w:t>рений хронічний верхівковий періодонтит з використанням дозованого вак</w:t>
      </w:r>
      <w:r w:rsidRPr="00E5479E">
        <w:rPr>
          <w:sz w:val="28"/>
          <w:szCs w:val="28"/>
          <w:lang w:val="uk-UA"/>
        </w:rPr>
        <w:t>у</w:t>
      </w:r>
      <w:r w:rsidRPr="00E5479E">
        <w:rPr>
          <w:sz w:val="28"/>
          <w:szCs w:val="28"/>
          <w:lang w:val="uk-UA"/>
        </w:rPr>
        <w:t>уму: автореф. дис. на здобуття наук. ступеня канд. мед. наук: спец. 14.01.22 «Стоматологія» / Н.В. Котелевська. – По</w:t>
      </w:r>
      <w:r w:rsidRPr="00E5479E">
        <w:rPr>
          <w:sz w:val="28"/>
          <w:szCs w:val="28"/>
          <w:lang w:val="uk-UA"/>
        </w:rPr>
        <w:t>л</w:t>
      </w:r>
      <w:r w:rsidRPr="00E5479E">
        <w:rPr>
          <w:sz w:val="28"/>
          <w:szCs w:val="28"/>
          <w:lang w:val="uk-UA"/>
        </w:rPr>
        <w:t>тава, 2005. – 18 с.</w:t>
      </w:r>
    </w:p>
    <w:p w:rsidR="0019442B" w:rsidRPr="00E5479E" w:rsidRDefault="0019442B" w:rsidP="00DA0CD3">
      <w:pPr>
        <w:numPr>
          <w:ilvl w:val="0"/>
          <w:numId w:val="70"/>
        </w:numPr>
        <w:suppressAutoHyphens w:val="0"/>
        <w:spacing w:line="360" w:lineRule="auto"/>
        <w:jc w:val="both"/>
        <w:rPr>
          <w:sz w:val="28"/>
        </w:rPr>
      </w:pPr>
      <w:r w:rsidRPr="00E5479E">
        <w:rPr>
          <w:sz w:val="28"/>
        </w:rPr>
        <w:t>Кротов В.В. Использование временной корневой пломбы Каласепт при лечении хронического пульпита и периодонтита у детей по</w:t>
      </w:r>
      <w:r w:rsidRPr="00E5479E">
        <w:rPr>
          <w:sz w:val="28"/>
        </w:rPr>
        <w:t>д</w:t>
      </w:r>
      <w:r w:rsidRPr="00E5479E">
        <w:rPr>
          <w:sz w:val="28"/>
        </w:rPr>
        <w:t xml:space="preserve">росткового возраста (клинико-экспериментальное исследование): </w:t>
      </w:r>
      <w:r w:rsidRPr="00E5479E">
        <w:rPr>
          <w:sz w:val="28"/>
          <w:szCs w:val="28"/>
          <w:lang w:val="uk-UA"/>
        </w:rPr>
        <w:t>автореф. дис. на здобуття наук</w:t>
      </w:r>
      <w:proofErr w:type="gramStart"/>
      <w:r w:rsidRPr="00E5479E">
        <w:rPr>
          <w:sz w:val="28"/>
          <w:szCs w:val="28"/>
          <w:lang w:val="uk-UA"/>
        </w:rPr>
        <w:t>.</w:t>
      </w:r>
      <w:proofErr w:type="gramEnd"/>
      <w:r w:rsidRPr="00E5479E">
        <w:rPr>
          <w:sz w:val="28"/>
          <w:szCs w:val="28"/>
          <w:lang w:val="uk-UA"/>
        </w:rPr>
        <w:t xml:space="preserve"> </w:t>
      </w:r>
      <w:proofErr w:type="gramStart"/>
      <w:r w:rsidRPr="00E5479E">
        <w:rPr>
          <w:sz w:val="28"/>
          <w:szCs w:val="28"/>
          <w:lang w:val="uk-UA"/>
        </w:rPr>
        <w:t>с</w:t>
      </w:r>
      <w:proofErr w:type="gramEnd"/>
      <w:r w:rsidRPr="00E5479E">
        <w:rPr>
          <w:sz w:val="28"/>
          <w:szCs w:val="28"/>
          <w:lang w:val="uk-UA"/>
        </w:rPr>
        <w:t>тупеня канд. мед. наук: спец. 14.01.22 «Стоматологія» / В</w:t>
      </w:r>
      <w:r w:rsidRPr="00E5479E">
        <w:rPr>
          <w:sz w:val="28"/>
          <w:szCs w:val="28"/>
        </w:rPr>
        <w:t>.В. Кротов. – М., 2005. – 26 с.</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Кузіна В.В. Використання силіконового матеріалу «Сілгап» для обт</w:t>
      </w:r>
      <w:r w:rsidRPr="00E5479E">
        <w:rPr>
          <w:sz w:val="28"/>
          <w:szCs w:val="28"/>
          <w:lang w:val="uk-UA"/>
        </w:rPr>
        <w:t>ю</w:t>
      </w:r>
      <w:r w:rsidRPr="00E5479E">
        <w:rPr>
          <w:sz w:val="28"/>
          <w:szCs w:val="28"/>
          <w:lang w:val="uk-UA"/>
        </w:rPr>
        <w:t>рації кореневих каналів при лікуванні хронічного періодонтиту пості</w:t>
      </w:r>
      <w:r w:rsidRPr="00E5479E">
        <w:rPr>
          <w:sz w:val="28"/>
          <w:szCs w:val="28"/>
          <w:lang w:val="uk-UA"/>
        </w:rPr>
        <w:t>й</w:t>
      </w:r>
      <w:r w:rsidRPr="00E5479E">
        <w:rPr>
          <w:sz w:val="28"/>
          <w:szCs w:val="28"/>
          <w:lang w:val="uk-UA"/>
        </w:rPr>
        <w:t>них зубів: автореф. дис. на здобуття наук. ступеня канд. мед. наук: спец. 14.01.22 «Стоматологія» / В.В. Кузіна. – Одеса, 2006. – 18 с.</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 xml:space="preserve">Купреева И.В. Сравнительная характеристика эффективности консервативного лечения хронического верхушечного периодонтита </w:t>
      </w:r>
      <w:proofErr w:type="gramStart"/>
      <w:r w:rsidRPr="00E5479E">
        <w:rPr>
          <w:sz w:val="28"/>
          <w:szCs w:val="28"/>
        </w:rPr>
        <w:t>у</w:t>
      </w:r>
      <w:proofErr w:type="gramEnd"/>
      <w:r w:rsidRPr="00E5479E">
        <w:rPr>
          <w:sz w:val="28"/>
          <w:szCs w:val="28"/>
        </w:rPr>
        <w:t xml:space="preserve"> </w:t>
      </w:r>
      <w:proofErr w:type="gramStart"/>
      <w:r w:rsidRPr="00E5479E">
        <w:rPr>
          <w:sz w:val="28"/>
          <w:szCs w:val="28"/>
        </w:rPr>
        <w:t>бол</w:t>
      </w:r>
      <w:r w:rsidRPr="00E5479E">
        <w:rPr>
          <w:sz w:val="28"/>
          <w:szCs w:val="28"/>
        </w:rPr>
        <w:t>ь</w:t>
      </w:r>
      <w:r w:rsidRPr="00E5479E">
        <w:rPr>
          <w:sz w:val="28"/>
          <w:szCs w:val="28"/>
        </w:rPr>
        <w:t>ным</w:t>
      </w:r>
      <w:proofErr w:type="gramEnd"/>
      <w:r w:rsidRPr="00E5479E">
        <w:rPr>
          <w:sz w:val="28"/>
          <w:szCs w:val="28"/>
        </w:rPr>
        <w:t xml:space="preserve"> на фоне вторичной иммунной недостаточности и у соматически здор</w:t>
      </w:r>
      <w:r w:rsidRPr="00E5479E">
        <w:rPr>
          <w:sz w:val="28"/>
          <w:szCs w:val="28"/>
        </w:rPr>
        <w:t>о</w:t>
      </w:r>
      <w:r w:rsidRPr="00E5479E">
        <w:rPr>
          <w:sz w:val="28"/>
          <w:szCs w:val="28"/>
        </w:rPr>
        <w:t>вых лиц / И.В. Купреева // Стоматология. – 1998. – № 3. – С. 15-16.</w:t>
      </w:r>
    </w:p>
    <w:p w:rsidR="0019442B" w:rsidRPr="00E5479E" w:rsidRDefault="0019442B" w:rsidP="00DA0CD3">
      <w:pPr>
        <w:numPr>
          <w:ilvl w:val="0"/>
          <w:numId w:val="70"/>
        </w:numPr>
        <w:suppressAutoHyphens w:val="0"/>
        <w:spacing w:line="360" w:lineRule="auto"/>
        <w:jc w:val="both"/>
        <w:rPr>
          <w:sz w:val="28"/>
          <w:lang w:val="uk-UA"/>
        </w:rPr>
      </w:pPr>
      <w:r w:rsidRPr="00E5479E">
        <w:rPr>
          <w:sz w:val="28"/>
        </w:rPr>
        <w:t>Лапач С.Н. Статистические методы в медико-биологических исслед</w:t>
      </w:r>
      <w:r w:rsidRPr="00E5479E">
        <w:rPr>
          <w:sz w:val="28"/>
        </w:rPr>
        <w:t>о</w:t>
      </w:r>
      <w:r w:rsidRPr="00E5479E">
        <w:rPr>
          <w:sz w:val="28"/>
        </w:rPr>
        <w:t xml:space="preserve">ваниях с использованием </w:t>
      </w:r>
      <w:r w:rsidRPr="00E5479E">
        <w:rPr>
          <w:sz w:val="28"/>
          <w:lang w:val="en-US"/>
        </w:rPr>
        <w:t>Excel</w:t>
      </w:r>
      <w:r w:rsidRPr="00E5479E">
        <w:rPr>
          <w:sz w:val="28"/>
        </w:rPr>
        <w:t xml:space="preserve"> / С.Н. Лапач, А.В. Чубанко, П.Н. Бабич</w:t>
      </w:r>
      <w:r w:rsidRPr="0019442B">
        <w:rPr>
          <w:sz w:val="28"/>
        </w:rPr>
        <w:t xml:space="preserve">. – </w:t>
      </w:r>
      <w:r w:rsidRPr="00E5479E">
        <w:rPr>
          <w:sz w:val="28"/>
        </w:rPr>
        <w:t xml:space="preserve">К.: Морион, 2000. – 320 с. </w:t>
      </w:r>
    </w:p>
    <w:p w:rsidR="0019442B" w:rsidRPr="00E5479E" w:rsidRDefault="0019442B" w:rsidP="00DA0CD3">
      <w:pPr>
        <w:numPr>
          <w:ilvl w:val="0"/>
          <w:numId w:val="70"/>
        </w:numPr>
        <w:suppressAutoHyphens w:val="0"/>
        <w:spacing w:line="360" w:lineRule="auto"/>
        <w:jc w:val="both"/>
        <w:rPr>
          <w:sz w:val="28"/>
          <w:lang w:val="uk-UA"/>
        </w:rPr>
      </w:pPr>
      <w:r w:rsidRPr="00E5479E">
        <w:rPr>
          <w:sz w:val="28"/>
        </w:rPr>
        <w:t>Ларионова Л.В. Морфолого-микробиологические особенности воспалительной стоматологической патологии (периодонтитов, пародонт</w:t>
      </w:r>
      <w:r w:rsidRPr="00E5479E">
        <w:rPr>
          <w:sz w:val="28"/>
        </w:rPr>
        <w:t>и</w:t>
      </w:r>
      <w:r w:rsidRPr="00E5479E">
        <w:rPr>
          <w:sz w:val="28"/>
        </w:rPr>
        <w:t>тов, альвеолитов, ятрогении) / Л.В.</w:t>
      </w:r>
      <w:r w:rsidRPr="0019442B">
        <w:rPr>
          <w:sz w:val="28"/>
        </w:rPr>
        <w:t xml:space="preserve"> </w:t>
      </w:r>
      <w:r w:rsidRPr="00E5479E">
        <w:rPr>
          <w:sz w:val="28"/>
        </w:rPr>
        <w:t xml:space="preserve">Ларионова, Т.А. Чалая, М.Ю. Инкелевич // </w:t>
      </w:r>
      <w:r w:rsidRPr="00E5479E">
        <w:rPr>
          <w:sz w:val="28"/>
          <w:lang w:val="uk-UA"/>
        </w:rPr>
        <w:t>Український морфологічний альм</w:t>
      </w:r>
      <w:r w:rsidRPr="00E5479E">
        <w:rPr>
          <w:sz w:val="28"/>
          <w:lang w:val="uk-UA"/>
        </w:rPr>
        <w:t>а</w:t>
      </w:r>
      <w:r w:rsidRPr="00E5479E">
        <w:rPr>
          <w:sz w:val="28"/>
          <w:lang w:val="uk-UA"/>
        </w:rPr>
        <w:t>нах. – 2005. – № 1. – С. 40-43.</w:t>
      </w:r>
    </w:p>
    <w:p w:rsidR="0019442B" w:rsidRPr="00E5479E" w:rsidRDefault="0019442B" w:rsidP="00DA0CD3">
      <w:pPr>
        <w:numPr>
          <w:ilvl w:val="0"/>
          <w:numId w:val="70"/>
        </w:numPr>
        <w:suppressAutoHyphens w:val="0"/>
        <w:spacing w:line="360" w:lineRule="auto"/>
        <w:jc w:val="both"/>
        <w:rPr>
          <w:sz w:val="28"/>
          <w:lang w:val="uk-UA"/>
        </w:rPr>
      </w:pPr>
      <w:r w:rsidRPr="00E5479E">
        <w:rPr>
          <w:sz w:val="28"/>
        </w:rPr>
        <w:lastRenderedPageBreak/>
        <w:t>Ларионова Л.В. Стоматологический статус студентов Луганского гос</w:t>
      </w:r>
      <w:r w:rsidRPr="00E5479E">
        <w:rPr>
          <w:sz w:val="28"/>
        </w:rPr>
        <w:t>у</w:t>
      </w:r>
      <w:r w:rsidRPr="00E5479E">
        <w:rPr>
          <w:sz w:val="28"/>
        </w:rPr>
        <w:t xml:space="preserve">дарственного медицинского университета </w:t>
      </w:r>
      <w:r w:rsidRPr="0019442B">
        <w:rPr>
          <w:sz w:val="28"/>
        </w:rPr>
        <w:t xml:space="preserve">/ </w:t>
      </w:r>
      <w:r w:rsidRPr="00E5479E">
        <w:rPr>
          <w:sz w:val="28"/>
        </w:rPr>
        <w:t>Л.В.</w:t>
      </w:r>
      <w:r w:rsidRPr="0019442B">
        <w:rPr>
          <w:sz w:val="28"/>
        </w:rPr>
        <w:t xml:space="preserve"> </w:t>
      </w:r>
      <w:r w:rsidRPr="00E5479E">
        <w:rPr>
          <w:sz w:val="28"/>
        </w:rPr>
        <w:t xml:space="preserve">Ларионова, Т.А. Чалая // </w:t>
      </w:r>
      <w:r w:rsidRPr="00E5479E">
        <w:rPr>
          <w:sz w:val="28"/>
          <w:lang w:val="uk-UA"/>
        </w:rPr>
        <w:t>Український медичний альманах. – 2004. – № 2 (дод</w:t>
      </w:r>
      <w:r w:rsidRPr="00E5479E">
        <w:rPr>
          <w:sz w:val="28"/>
          <w:lang w:val="uk-UA"/>
        </w:rPr>
        <w:t>а</w:t>
      </w:r>
      <w:r w:rsidRPr="00E5479E">
        <w:rPr>
          <w:sz w:val="28"/>
          <w:lang w:val="uk-UA"/>
        </w:rPr>
        <w:t>ток). – С. 179-181.</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Левкович А.Н. Изучение микрофлоры периапикальных тканей в отд</w:t>
      </w:r>
      <w:r w:rsidRPr="00E5479E">
        <w:rPr>
          <w:b/>
          <w:sz w:val="28"/>
        </w:rPr>
        <w:t>а</w:t>
      </w:r>
      <w:r w:rsidRPr="00E5479E">
        <w:rPr>
          <w:b/>
          <w:sz w:val="28"/>
        </w:rPr>
        <w:t>ленные сроки после лечения периодонтита / А.Н. Левкович // Стомат</w:t>
      </w:r>
      <w:r w:rsidRPr="00E5479E">
        <w:rPr>
          <w:b/>
          <w:sz w:val="28"/>
        </w:rPr>
        <w:t>о</w:t>
      </w:r>
      <w:r w:rsidRPr="00E5479E">
        <w:rPr>
          <w:b/>
          <w:sz w:val="28"/>
        </w:rPr>
        <w:t>логия. – 1986. – № 2. – С. 18.</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Лукомский И.Г. Активные формы хронического воспаления периодо</w:t>
      </w:r>
      <w:r w:rsidRPr="00E5479E">
        <w:rPr>
          <w:b/>
          <w:sz w:val="28"/>
        </w:rPr>
        <w:t>н</w:t>
      </w:r>
      <w:r w:rsidRPr="00E5479E">
        <w:rPr>
          <w:b/>
          <w:sz w:val="28"/>
        </w:rPr>
        <w:t>та / И.Г. Лукомский. – М.: Медицина, 1936. – 280 с.</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Лукоянова Н.С. Особливості клініки та лікування періодонтиту, викл</w:t>
      </w:r>
      <w:r w:rsidRPr="00E5479E">
        <w:rPr>
          <w:sz w:val="28"/>
          <w:szCs w:val="28"/>
          <w:lang w:val="uk-UA"/>
        </w:rPr>
        <w:t>и</w:t>
      </w:r>
      <w:r w:rsidRPr="00E5479E">
        <w:rPr>
          <w:sz w:val="28"/>
          <w:szCs w:val="28"/>
          <w:lang w:val="uk-UA"/>
        </w:rPr>
        <w:t>каного бактеріально-грибковими асоціаціями: автореф. дис. на здобу</w:t>
      </w:r>
      <w:r w:rsidRPr="00E5479E">
        <w:rPr>
          <w:sz w:val="28"/>
          <w:szCs w:val="28"/>
          <w:lang w:val="uk-UA"/>
        </w:rPr>
        <w:t>т</w:t>
      </w:r>
      <w:r w:rsidRPr="00E5479E">
        <w:rPr>
          <w:sz w:val="28"/>
          <w:szCs w:val="28"/>
          <w:lang w:val="uk-UA"/>
        </w:rPr>
        <w:t>тя наук. ступеня канд. мед. наук: спец. 14.01.22 «Стоматологія» / Н.С. Л</w:t>
      </w:r>
      <w:r w:rsidRPr="00E5479E">
        <w:rPr>
          <w:sz w:val="28"/>
          <w:szCs w:val="28"/>
          <w:lang w:val="uk-UA"/>
        </w:rPr>
        <w:t>у</w:t>
      </w:r>
      <w:r w:rsidRPr="00E5479E">
        <w:rPr>
          <w:sz w:val="28"/>
          <w:szCs w:val="28"/>
          <w:lang w:val="uk-UA"/>
        </w:rPr>
        <w:t>коянова. – Полтава, 2005. – 16 с.</w:t>
      </w:r>
    </w:p>
    <w:p w:rsidR="0019442B" w:rsidRPr="00E5479E" w:rsidRDefault="0019442B" w:rsidP="00DA0CD3">
      <w:pPr>
        <w:numPr>
          <w:ilvl w:val="0"/>
          <w:numId w:val="70"/>
        </w:numPr>
        <w:suppressAutoHyphens w:val="0"/>
        <w:spacing w:line="360" w:lineRule="auto"/>
        <w:jc w:val="both"/>
        <w:rPr>
          <w:sz w:val="28"/>
        </w:rPr>
      </w:pPr>
      <w:r w:rsidRPr="00E5479E">
        <w:rPr>
          <w:sz w:val="28"/>
        </w:rPr>
        <w:t>Майбородин И.В. Изменения десны при сочетании артериальной г</w:t>
      </w:r>
      <w:r w:rsidRPr="00E5479E">
        <w:rPr>
          <w:sz w:val="28"/>
        </w:rPr>
        <w:t>и</w:t>
      </w:r>
      <w:r w:rsidRPr="00E5479E">
        <w:rPr>
          <w:sz w:val="28"/>
        </w:rPr>
        <w:t>пертензии с периодонтитом / И.В. Майбородин, И.А. Колмакова, И.А. При</w:t>
      </w:r>
      <w:r w:rsidRPr="00E5479E">
        <w:rPr>
          <w:sz w:val="28"/>
        </w:rPr>
        <w:t>т</w:t>
      </w:r>
      <w:r w:rsidRPr="00E5479E">
        <w:rPr>
          <w:sz w:val="28"/>
        </w:rPr>
        <w:t>чина, В.В. Чупина // Стоматология. – 2005. – № 6. – С. 15-19.</w:t>
      </w:r>
    </w:p>
    <w:p w:rsidR="0019442B" w:rsidRPr="00E5479E" w:rsidRDefault="0019442B" w:rsidP="00DA0CD3">
      <w:pPr>
        <w:numPr>
          <w:ilvl w:val="0"/>
          <w:numId w:val="70"/>
        </w:numPr>
        <w:suppressAutoHyphens w:val="0"/>
        <w:spacing w:line="360" w:lineRule="auto"/>
        <w:jc w:val="both"/>
        <w:rPr>
          <w:sz w:val="28"/>
        </w:rPr>
      </w:pPr>
      <w:r w:rsidRPr="00E5479E">
        <w:rPr>
          <w:sz w:val="28"/>
        </w:rPr>
        <w:t>Максимовский Ю.М. Бактериологический аспект периодонтита / Ю.М. Максимовский // Новое в стоматологии. – 2001. – № 6. – С. 8-13.</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Максимовский Ю.М. Оценка иммунного статуса больных острым и обострившимся хроническим периодонтитом / Ю.М. Максимовский, Т.Г. Робустова, Н.А. Чукаева, И.Д Понякина // Стоматология. – 1991. – В</w:t>
      </w:r>
      <w:r w:rsidRPr="00E5479E">
        <w:rPr>
          <w:b/>
          <w:sz w:val="28"/>
        </w:rPr>
        <w:t>ы</w:t>
      </w:r>
      <w:r w:rsidRPr="00E5479E">
        <w:rPr>
          <w:b/>
          <w:sz w:val="28"/>
        </w:rPr>
        <w:t>пуск 21. – С. 26-29.</w:t>
      </w:r>
    </w:p>
    <w:p w:rsidR="0019442B" w:rsidRPr="00E5479E" w:rsidRDefault="0019442B" w:rsidP="00DA0CD3">
      <w:pPr>
        <w:numPr>
          <w:ilvl w:val="0"/>
          <w:numId w:val="70"/>
        </w:numPr>
        <w:suppressAutoHyphens w:val="0"/>
        <w:spacing w:line="360" w:lineRule="auto"/>
        <w:jc w:val="both"/>
        <w:rPr>
          <w:sz w:val="28"/>
        </w:rPr>
      </w:pPr>
      <w:r w:rsidRPr="00E5479E">
        <w:rPr>
          <w:sz w:val="28"/>
        </w:rPr>
        <w:t>Митронин А.В. Изучение влияния хронического апикального пери</w:t>
      </w:r>
      <w:r w:rsidRPr="00E5479E">
        <w:rPr>
          <w:sz w:val="28"/>
        </w:rPr>
        <w:t>о</w:t>
      </w:r>
      <w:r w:rsidRPr="00E5479E">
        <w:rPr>
          <w:sz w:val="28"/>
        </w:rPr>
        <w:t>донтита на состояние организма пациента / А.В. Митронин, И.Д. Пон</w:t>
      </w:r>
      <w:r w:rsidRPr="00E5479E">
        <w:rPr>
          <w:sz w:val="28"/>
        </w:rPr>
        <w:t>я</w:t>
      </w:r>
      <w:r w:rsidRPr="00E5479E">
        <w:rPr>
          <w:sz w:val="28"/>
        </w:rPr>
        <w:t>кина // Стоматология. – 2007. – № 6. – С. 26-29.</w:t>
      </w:r>
    </w:p>
    <w:p w:rsidR="0019442B" w:rsidRPr="00E5479E" w:rsidRDefault="0019442B" w:rsidP="00DA0CD3">
      <w:pPr>
        <w:numPr>
          <w:ilvl w:val="0"/>
          <w:numId w:val="70"/>
        </w:numPr>
        <w:suppressAutoHyphens w:val="0"/>
        <w:spacing w:line="360" w:lineRule="auto"/>
        <w:jc w:val="both"/>
        <w:rPr>
          <w:sz w:val="28"/>
        </w:rPr>
      </w:pPr>
      <w:r w:rsidRPr="00E5479E">
        <w:rPr>
          <w:sz w:val="28"/>
        </w:rPr>
        <w:t>Митронин А.В. Клинико-микробиологическая оценка эффективности эндоканального применения биоактивного геля Коллапан в лечении хронического периодонтита / А.В. Митронин, В.Н. Царев // Стоматолог Инфо. – 2005. – № 8. – С. 19-26.</w:t>
      </w:r>
    </w:p>
    <w:p w:rsidR="0019442B" w:rsidRPr="00E5479E" w:rsidRDefault="0019442B" w:rsidP="00DA0CD3">
      <w:pPr>
        <w:numPr>
          <w:ilvl w:val="0"/>
          <w:numId w:val="70"/>
        </w:numPr>
        <w:suppressAutoHyphens w:val="0"/>
        <w:spacing w:line="360" w:lineRule="auto"/>
        <w:jc w:val="both"/>
        <w:rPr>
          <w:sz w:val="28"/>
        </w:rPr>
      </w:pPr>
      <w:r w:rsidRPr="00E5479E">
        <w:rPr>
          <w:sz w:val="28"/>
        </w:rPr>
        <w:t>Митронин А.В.</w:t>
      </w:r>
      <w:r w:rsidRPr="00E5479E">
        <w:rPr>
          <w:sz w:val="28"/>
          <w:lang w:val="uk-UA"/>
        </w:rPr>
        <w:t xml:space="preserve"> </w:t>
      </w:r>
      <w:r w:rsidRPr="00E5479E">
        <w:rPr>
          <w:sz w:val="28"/>
        </w:rPr>
        <w:t>Принципы, методы и средства лечения хронического периодонтита при комплексной реабилитации пациентов / А.В. Ми</w:t>
      </w:r>
      <w:r w:rsidRPr="00E5479E">
        <w:rPr>
          <w:sz w:val="28"/>
        </w:rPr>
        <w:t>т</w:t>
      </w:r>
      <w:r w:rsidRPr="00E5479E">
        <w:rPr>
          <w:sz w:val="28"/>
        </w:rPr>
        <w:t xml:space="preserve">ронин // Стоматология. – 2005. </w:t>
      </w:r>
      <w:r w:rsidRPr="00E5479E">
        <w:rPr>
          <w:sz w:val="28"/>
          <w:szCs w:val="28"/>
          <w:lang w:val="uk-UA"/>
        </w:rPr>
        <w:t>–</w:t>
      </w:r>
      <w:r w:rsidRPr="00E5479E">
        <w:rPr>
          <w:sz w:val="28"/>
        </w:rPr>
        <w:t xml:space="preserve"> № 6. – С. 67-74.</w:t>
      </w:r>
    </w:p>
    <w:p w:rsidR="0019442B" w:rsidRPr="00E5479E" w:rsidRDefault="0019442B" w:rsidP="00DA0CD3">
      <w:pPr>
        <w:numPr>
          <w:ilvl w:val="0"/>
          <w:numId w:val="70"/>
        </w:numPr>
        <w:suppressAutoHyphens w:val="0"/>
        <w:spacing w:line="360" w:lineRule="auto"/>
        <w:jc w:val="both"/>
        <w:rPr>
          <w:sz w:val="28"/>
        </w:rPr>
      </w:pPr>
      <w:r w:rsidRPr="00E5479E">
        <w:rPr>
          <w:sz w:val="28"/>
          <w:lang w:val="uk-UA"/>
        </w:rPr>
        <w:lastRenderedPageBreak/>
        <w:t>Митченок О.В. Методи лікування хронічних періодонтитів (огляд літератури) / О.В. Митченок, М.Д. Король // Український стомат</w:t>
      </w:r>
      <w:r w:rsidRPr="00E5479E">
        <w:rPr>
          <w:sz w:val="28"/>
          <w:lang w:val="uk-UA"/>
        </w:rPr>
        <w:t>о</w:t>
      </w:r>
      <w:r w:rsidRPr="00E5479E">
        <w:rPr>
          <w:sz w:val="28"/>
          <w:lang w:val="uk-UA"/>
        </w:rPr>
        <w:t>логічний ал</w:t>
      </w:r>
      <w:r w:rsidRPr="00E5479E">
        <w:rPr>
          <w:sz w:val="28"/>
          <w:lang w:val="uk-UA"/>
        </w:rPr>
        <w:t>ь</w:t>
      </w:r>
      <w:r w:rsidRPr="00E5479E">
        <w:rPr>
          <w:sz w:val="28"/>
          <w:lang w:val="uk-UA"/>
        </w:rPr>
        <w:t>манах. – 2008. – № 1. – С. 45-47.</w:t>
      </w:r>
    </w:p>
    <w:p w:rsidR="0019442B" w:rsidRPr="00E5479E" w:rsidRDefault="0019442B" w:rsidP="00DA0CD3">
      <w:pPr>
        <w:numPr>
          <w:ilvl w:val="0"/>
          <w:numId w:val="70"/>
        </w:numPr>
        <w:suppressAutoHyphens w:val="0"/>
        <w:spacing w:line="360" w:lineRule="auto"/>
        <w:jc w:val="both"/>
        <w:rPr>
          <w:sz w:val="28"/>
        </w:rPr>
      </w:pPr>
      <w:r w:rsidRPr="00E5479E">
        <w:rPr>
          <w:sz w:val="28"/>
        </w:rPr>
        <w:t>Михеенко Т.В. Два метода получения обогащенной популяции мон</w:t>
      </w:r>
      <w:r w:rsidRPr="00E5479E">
        <w:rPr>
          <w:sz w:val="28"/>
        </w:rPr>
        <w:t>о</w:t>
      </w:r>
      <w:r w:rsidRPr="00E5479E">
        <w:rPr>
          <w:sz w:val="28"/>
        </w:rPr>
        <w:t>цитов периферической крови / Т.В. Михеенко // Лабораторное дело. – 1987. – № 10. – С. 763-766.</w:t>
      </w:r>
    </w:p>
    <w:p w:rsidR="0019442B" w:rsidRPr="00E5479E" w:rsidRDefault="0019442B" w:rsidP="00DA0CD3">
      <w:pPr>
        <w:numPr>
          <w:ilvl w:val="0"/>
          <w:numId w:val="70"/>
        </w:numPr>
        <w:suppressAutoHyphens w:val="0"/>
        <w:spacing w:line="360" w:lineRule="auto"/>
        <w:jc w:val="both"/>
        <w:rPr>
          <w:sz w:val="28"/>
        </w:rPr>
      </w:pPr>
      <w:proofErr w:type="gramStart"/>
      <w:r w:rsidRPr="00E5479E">
        <w:rPr>
          <w:sz w:val="28"/>
        </w:rPr>
        <w:t>Мудрая</w:t>
      </w:r>
      <w:proofErr w:type="gramEnd"/>
      <w:r w:rsidRPr="00E5479E">
        <w:rPr>
          <w:sz w:val="28"/>
        </w:rPr>
        <w:t xml:space="preserve"> В.Н. Рациональные подходы к оценке состояния мук</w:t>
      </w:r>
      <w:r w:rsidRPr="00E5479E">
        <w:rPr>
          <w:sz w:val="28"/>
        </w:rPr>
        <w:t>о</w:t>
      </w:r>
      <w:r w:rsidRPr="00E5479E">
        <w:rPr>
          <w:sz w:val="28"/>
        </w:rPr>
        <w:t xml:space="preserve">зального иммунитета ротовой полости у пациентов, нуждающихся в проведении дентальной имплантации / В.Н. Мудрая // </w:t>
      </w:r>
      <w:r w:rsidRPr="00E5479E">
        <w:rPr>
          <w:sz w:val="28"/>
          <w:lang w:val="uk-UA"/>
        </w:rPr>
        <w:t>Український медичний ал</w:t>
      </w:r>
      <w:r w:rsidRPr="00E5479E">
        <w:rPr>
          <w:sz w:val="28"/>
          <w:lang w:val="uk-UA"/>
        </w:rPr>
        <w:t>ь</w:t>
      </w:r>
      <w:r w:rsidRPr="00E5479E">
        <w:rPr>
          <w:sz w:val="28"/>
          <w:lang w:val="uk-UA"/>
        </w:rPr>
        <w:t>манах. – 2005. – № 5. – С. 108-110.</w:t>
      </w:r>
    </w:p>
    <w:p w:rsidR="0019442B" w:rsidRPr="00E5479E" w:rsidRDefault="0019442B" w:rsidP="00DA0CD3">
      <w:pPr>
        <w:numPr>
          <w:ilvl w:val="0"/>
          <w:numId w:val="70"/>
        </w:numPr>
        <w:suppressAutoHyphens w:val="0"/>
        <w:spacing w:line="360" w:lineRule="auto"/>
        <w:jc w:val="both"/>
        <w:rPr>
          <w:sz w:val="28"/>
        </w:rPr>
      </w:pPr>
      <w:r w:rsidRPr="00E5479E">
        <w:rPr>
          <w:sz w:val="28"/>
        </w:rPr>
        <w:t>Наибов О.В. Применение лазерного излучения при лечении дестру</w:t>
      </w:r>
      <w:r w:rsidRPr="00E5479E">
        <w:rPr>
          <w:sz w:val="28"/>
        </w:rPr>
        <w:t>к</w:t>
      </w:r>
      <w:r w:rsidRPr="00E5479E">
        <w:rPr>
          <w:sz w:val="28"/>
        </w:rPr>
        <w:t>тивных форм хронического периодонтита у подростков / О.В. Наибов, Г.И. Ронь // Клиническая стоматология. – 2007. – № 1. – С. 30-34.</w:t>
      </w:r>
    </w:p>
    <w:p w:rsidR="0019442B" w:rsidRPr="00E5479E" w:rsidRDefault="0019442B" w:rsidP="00DA0CD3">
      <w:pPr>
        <w:numPr>
          <w:ilvl w:val="0"/>
          <w:numId w:val="70"/>
        </w:numPr>
        <w:suppressAutoHyphens w:val="0"/>
        <w:spacing w:line="360" w:lineRule="auto"/>
        <w:jc w:val="both"/>
        <w:rPr>
          <w:sz w:val="28"/>
        </w:rPr>
      </w:pPr>
      <w:r w:rsidRPr="00E5479E">
        <w:rPr>
          <w:sz w:val="28"/>
        </w:rPr>
        <w:t xml:space="preserve">Напряженность антиэндотоксинового иммунитета у больных с околозубными очагами инфекции и хроническим пиелонефритом / Л.И. Авдонина, Н.В. Прийма, А.И. Гордиенко </w:t>
      </w:r>
      <w:r w:rsidRPr="0019442B">
        <w:rPr>
          <w:sz w:val="28"/>
        </w:rPr>
        <w:t>[</w:t>
      </w:r>
      <w:r w:rsidRPr="00E5479E">
        <w:rPr>
          <w:sz w:val="28"/>
        </w:rPr>
        <w:t>и др.</w:t>
      </w:r>
      <w:r w:rsidRPr="0019442B">
        <w:rPr>
          <w:sz w:val="28"/>
        </w:rPr>
        <w:t>]</w:t>
      </w:r>
      <w:r w:rsidRPr="00E5479E">
        <w:rPr>
          <w:sz w:val="28"/>
        </w:rPr>
        <w:t xml:space="preserve"> // </w:t>
      </w:r>
      <w:proofErr w:type="gramStart"/>
      <w:r w:rsidRPr="00E5479E">
        <w:rPr>
          <w:sz w:val="28"/>
          <w:lang w:val="uk-UA"/>
        </w:rPr>
        <w:t>В</w:t>
      </w:r>
      <w:proofErr w:type="gramEnd"/>
      <w:r w:rsidRPr="00E5479E">
        <w:rPr>
          <w:sz w:val="28"/>
          <w:lang w:val="uk-UA"/>
        </w:rPr>
        <w:t>існик Української медичної стоматологічної академії «Актуальні проблеми сучасної мед</w:t>
      </w:r>
      <w:r w:rsidRPr="00E5479E">
        <w:rPr>
          <w:sz w:val="28"/>
          <w:lang w:val="uk-UA"/>
        </w:rPr>
        <w:t>и</w:t>
      </w:r>
      <w:r w:rsidRPr="00E5479E">
        <w:rPr>
          <w:sz w:val="28"/>
          <w:lang w:val="uk-UA"/>
        </w:rPr>
        <w:t>цини». – 2005. – Випуск 2. – С. 24-27.</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Ніколішин А.К. Індивідуальний підбір матеріалів для обтюрації кор</w:t>
      </w:r>
      <w:r w:rsidRPr="00E5479E">
        <w:rPr>
          <w:sz w:val="28"/>
          <w:szCs w:val="28"/>
          <w:lang w:val="uk-UA"/>
        </w:rPr>
        <w:t>е</w:t>
      </w:r>
      <w:r w:rsidRPr="00E5479E">
        <w:rPr>
          <w:sz w:val="28"/>
          <w:szCs w:val="28"/>
          <w:lang w:val="uk-UA"/>
        </w:rPr>
        <w:t>невих каналів у хворих на хронічний верхівковий періодонтит за мет</w:t>
      </w:r>
      <w:r w:rsidRPr="00E5479E">
        <w:rPr>
          <w:sz w:val="28"/>
          <w:szCs w:val="28"/>
          <w:lang w:val="uk-UA"/>
        </w:rPr>
        <w:t>о</w:t>
      </w:r>
      <w:r w:rsidRPr="00E5479E">
        <w:rPr>
          <w:sz w:val="28"/>
          <w:szCs w:val="28"/>
          <w:lang w:val="uk-UA"/>
        </w:rPr>
        <w:t>дом Р. Фолля / А.К. Ніколішин, Т.Д. Бублій // Галицький лікарський в</w:t>
      </w:r>
      <w:r w:rsidRPr="00E5479E">
        <w:rPr>
          <w:sz w:val="28"/>
          <w:szCs w:val="28"/>
          <w:lang w:val="uk-UA"/>
        </w:rPr>
        <w:t>і</w:t>
      </w:r>
      <w:r w:rsidRPr="00E5479E">
        <w:rPr>
          <w:sz w:val="28"/>
          <w:szCs w:val="28"/>
          <w:lang w:val="uk-UA"/>
        </w:rPr>
        <w:t>сник. – 2003. – № 1. – С. 123-126.</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Ніколішін А.К. Лікування хворих на гострі гнійні та загострені хроні</w:t>
      </w:r>
      <w:r w:rsidRPr="00E5479E">
        <w:rPr>
          <w:sz w:val="28"/>
          <w:szCs w:val="28"/>
          <w:lang w:val="uk-UA"/>
        </w:rPr>
        <w:t>ч</w:t>
      </w:r>
      <w:r w:rsidRPr="00E5479E">
        <w:rPr>
          <w:sz w:val="28"/>
          <w:szCs w:val="28"/>
          <w:lang w:val="uk-UA"/>
        </w:rPr>
        <w:t>ні верхівкові періодонтити з використанням дозованого в</w:t>
      </w:r>
      <w:r w:rsidRPr="00E5479E">
        <w:rPr>
          <w:sz w:val="28"/>
          <w:szCs w:val="28"/>
          <w:lang w:val="uk-UA"/>
        </w:rPr>
        <w:t>а</w:t>
      </w:r>
      <w:r w:rsidRPr="00E5479E">
        <w:rPr>
          <w:sz w:val="28"/>
          <w:szCs w:val="28"/>
          <w:lang w:val="uk-UA"/>
        </w:rPr>
        <w:t>кууму / А.К. Ніколішін, Н.В. Котелевська // Український стомат</w:t>
      </w:r>
      <w:r w:rsidRPr="00E5479E">
        <w:rPr>
          <w:sz w:val="28"/>
          <w:szCs w:val="28"/>
          <w:lang w:val="uk-UA"/>
        </w:rPr>
        <w:t>о</w:t>
      </w:r>
      <w:r w:rsidRPr="00E5479E">
        <w:rPr>
          <w:sz w:val="28"/>
          <w:szCs w:val="28"/>
          <w:lang w:val="uk-UA"/>
        </w:rPr>
        <w:t>логічний альманах. – 2003. – № 3. – С. 16-18.</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Павленко А.В. Применение материалов фирмы НКФ «</w:t>
      </w:r>
      <w:r w:rsidRPr="00E5479E">
        <w:rPr>
          <w:sz w:val="28"/>
          <w:szCs w:val="28"/>
          <w:lang w:val="en-US"/>
        </w:rPr>
        <w:t>Dentstal</w:t>
      </w:r>
      <w:r w:rsidRPr="00E5479E">
        <w:rPr>
          <w:sz w:val="28"/>
          <w:szCs w:val="28"/>
        </w:rPr>
        <w:t>»</w:t>
      </w:r>
      <w:r w:rsidRPr="0019442B">
        <w:rPr>
          <w:sz w:val="28"/>
          <w:szCs w:val="28"/>
        </w:rPr>
        <w:t xml:space="preserve"> </w:t>
      </w:r>
      <w:r w:rsidRPr="00E5479E">
        <w:rPr>
          <w:sz w:val="28"/>
          <w:szCs w:val="28"/>
        </w:rPr>
        <w:t>для л</w:t>
      </w:r>
      <w:r w:rsidRPr="00E5479E">
        <w:rPr>
          <w:sz w:val="28"/>
          <w:szCs w:val="28"/>
        </w:rPr>
        <w:t>е</w:t>
      </w:r>
      <w:r w:rsidRPr="00E5479E">
        <w:rPr>
          <w:sz w:val="28"/>
          <w:szCs w:val="28"/>
        </w:rPr>
        <w:t>чения верхушечных периодонтитов / А.В. Павленко, Т.Н. Волосовец // Современная стоматология. – 2003. – № 2. – С. 19-21.</w:t>
      </w:r>
    </w:p>
    <w:p w:rsidR="0019442B" w:rsidRPr="00E5479E" w:rsidRDefault="0019442B" w:rsidP="00DA0CD3">
      <w:pPr>
        <w:pStyle w:val="affffffff5"/>
        <w:numPr>
          <w:ilvl w:val="0"/>
          <w:numId w:val="70"/>
        </w:numPr>
        <w:suppressAutoHyphens w:val="0"/>
        <w:spacing w:after="0" w:line="360" w:lineRule="auto"/>
        <w:jc w:val="both"/>
      </w:pPr>
      <w:r w:rsidRPr="00E5479E">
        <w:t>Патент 2164793 Российская Федерация, МПК 7 A61K6/00, A61P1/02, A61K35/78. Способ лечения хронического верхушечного периодо</w:t>
      </w:r>
      <w:r w:rsidRPr="00E5479E">
        <w:t>н</w:t>
      </w:r>
      <w:r w:rsidRPr="00E5479E">
        <w:t xml:space="preserve">тита / </w:t>
      </w:r>
      <w:r w:rsidRPr="00E5479E">
        <w:lastRenderedPageBreak/>
        <w:t>Курякина Т.В., Казанина Е.А., Морозова С.И.; заявитель и патентоо</w:t>
      </w:r>
      <w:r w:rsidRPr="00E5479E">
        <w:t>б</w:t>
      </w:r>
      <w:r w:rsidRPr="00E5479E">
        <w:t>ладатель Рязанский государственный медицинский университет. – № 99119714/14; заявл. 2001.04.10; опубл. 2001.04.10, Бюл. № 1.</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Петров С.М. Диференційований підхід до вибору ендодонтичного лік</w:t>
      </w:r>
      <w:r w:rsidRPr="00E5479E">
        <w:rPr>
          <w:sz w:val="28"/>
          <w:szCs w:val="28"/>
          <w:lang w:val="uk-UA"/>
        </w:rPr>
        <w:t>у</w:t>
      </w:r>
      <w:r w:rsidRPr="00E5479E">
        <w:rPr>
          <w:sz w:val="28"/>
          <w:szCs w:val="28"/>
          <w:lang w:val="uk-UA"/>
        </w:rPr>
        <w:t>вання хронічних форм деструктивних періодонтитів: автореф. дис. на здобуття наук. ступеня канд. мед. наук: спец. 14.01.22 «Ст</w:t>
      </w:r>
      <w:r w:rsidRPr="00E5479E">
        <w:rPr>
          <w:sz w:val="28"/>
          <w:szCs w:val="28"/>
          <w:lang w:val="uk-UA"/>
        </w:rPr>
        <w:t>о</w:t>
      </w:r>
      <w:r w:rsidRPr="00E5479E">
        <w:rPr>
          <w:sz w:val="28"/>
          <w:szCs w:val="28"/>
          <w:lang w:val="uk-UA"/>
        </w:rPr>
        <w:t>матологія» / С.М. Петров. – Полтава, 2006. – 16 с.</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Плиска О.М. Лікування деструктивних форм періодонтиту у дітей: а</w:t>
      </w:r>
      <w:r w:rsidRPr="00E5479E">
        <w:rPr>
          <w:sz w:val="28"/>
          <w:szCs w:val="28"/>
          <w:lang w:val="uk-UA"/>
        </w:rPr>
        <w:t>в</w:t>
      </w:r>
      <w:r w:rsidRPr="00E5479E">
        <w:rPr>
          <w:sz w:val="28"/>
          <w:szCs w:val="28"/>
          <w:lang w:val="uk-UA"/>
        </w:rPr>
        <w:t>тореф. дис. на здобуття наук. ступеня канд. мед. наук: спец. 14.01.22 «Ст</w:t>
      </w:r>
      <w:r w:rsidRPr="00E5479E">
        <w:rPr>
          <w:sz w:val="28"/>
          <w:szCs w:val="28"/>
          <w:lang w:val="uk-UA"/>
        </w:rPr>
        <w:t>о</w:t>
      </w:r>
      <w:r w:rsidRPr="00E5479E">
        <w:rPr>
          <w:sz w:val="28"/>
          <w:szCs w:val="28"/>
          <w:lang w:val="uk-UA"/>
        </w:rPr>
        <w:t>матологія» / О.М. Плиска. – Київ, 2007. – 20 с.</w:t>
      </w:r>
    </w:p>
    <w:p w:rsidR="0019442B" w:rsidRPr="00E5479E" w:rsidRDefault="0019442B" w:rsidP="00DA0CD3">
      <w:pPr>
        <w:numPr>
          <w:ilvl w:val="0"/>
          <w:numId w:val="70"/>
        </w:numPr>
        <w:suppressAutoHyphens w:val="0"/>
        <w:spacing w:line="360" w:lineRule="auto"/>
        <w:jc w:val="both"/>
        <w:rPr>
          <w:sz w:val="28"/>
        </w:rPr>
      </w:pPr>
      <w:r w:rsidRPr="00E5479E">
        <w:rPr>
          <w:sz w:val="28"/>
        </w:rPr>
        <w:t>Политун А.М. Депофорез гидроксида меди-кальция: обоснование, м</w:t>
      </w:r>
      <w:r w:rsidRPr="00E5479E">
        <w:rPr>
          <w:sz w:val="28"/>
        </w:rPr>
        <w:t>е</w:t>
      </w:r>
      <w:r w:rsidRPr="00E5479E">
        <w:rPr>
          <w:sz w:val="28"/>
        </w:rPr>
        <w:t>ханизм патогенетического действия, опыт использования в э</w:t>
      </w:r>
      <w:r w:rsidRPr="00E5479E">
        <w:rPr>
          <w:sz w:val="28"/>
        </w:rPr>
        <w:t>н</w:t>
      </w:r>
      <w:r w:rsidRPr="00E5479E">
        <w:rPr>
          <w:sz w:val="28"/>
        </w:rPr>
        <w:t>додонтии</w:t>
      </w:r>
      <w:r w:rsidRPr="00E5479E">
        <w:rPr>
          <w:sz w:val="28"/>
          <w:lang w:val="uk-UA"/>
        </w:rPr>
        <w:t xml:space="preserve"> / </w:t>
      </w:r>
      <w:r w:rsidRPr="00E5479E">
        <w:rPr>
          <w:sz w:val="28"/>
        </w:rPr>
        <w:t>А.М. Политун // Дентальные технологии. – 2002. – № 4. – С. 10-13.</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Полозок Д.М. Обґрунтування вибору ендодонтичного пломбувал</w:t>
      </w:r>
      <w:r w:rsidRPr="00E5479E">
        <w:rPr>
          <w:sz w:val="28"/>
          <w:szCs w:val="28"/>
          <w:lang w:val="uk-UA"/>
        </w:rPr>
        <w:t>ь</w:t>
      </w:r>
      <w:r w:rsidRPr="00E5479E">
        <w:rPr>
          <w:sz w:val="28"/>
          <w:szCs w:val="28"/>
          <w:lang w:val="uk-UA"/>
        </w:rPr>
        <w:t>ного матеріалу для підвищення ефективності лікування хронічних періодо</w:t>
      </w:r>
      <w:r w:rsidRPr="00E5479E">
        <w:rPr>
          <w:sz w:val="28"/>
          <w:szCs w:val="28"/>
          <w:lang w:val="uk-UA"/>
        </w:rPr>
        <w:t>н</w:t>
      </w:r>
      <w:r w:rsidRPr="00E5479E">
        <w:rPr>
          <w:sz w:val="28"/>
          <w:szCs w:val="28"/>
          <w:lang w:val="uk-UA"/>
        </w:rPr>
        <w:t>титів: автореф. дис. на здобуття наук. ступеня канд. мед. наук: спец. 14.01.22 «Стоматологія» / Д.М. Полозок. – Київ, 2007. – 18 с.</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Полозок Д.М. Сравнительная характеристика противомикробной активности разных групп силеров / Д.М. Полозок // Современная стоматол</w:t>
      </w:r>
      <w:r w:rsidRPr="00E5479E">
        <w:rPr>
          <w:sz w:val="28"/>
          <w:szCs w:val="28"/>
        </w:rPr>
        <w:t>о</w:t>
      </w:r>
      <w:r w:rsidRPr="00E5479E">
        <w:rPr>
          <w:sz w:val="28"/>
          <w:szCs w:val="28"/>
        </w:rPr>
        <w:t>гия. – 2005. – № 4. – С. 18-20.</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Прийма Н.В. Клініко-лабораторна характеристика та лікування хроні</w:t>
      </w:r>
      <w:r w:rsidRPr="00E5479E">
        <w:rPr>
          <w:sz w:val="28"/>
          <w:szCs w:val="28"/>
          <w:lang w:val="uk-UA"/>
        </w:rPr>
        <w:t>ч</w:t>
      </w:r>
      <w:r w:rsidRPr="00E5479E">
        <w:rPr>
          <w:sz w:val="28"/>
          <w:szCs w:val="28"/>
          <w:lang w:val="uk-UA"/>
        </w:rPr>
        <w:t>ного верхівкового періодонтиту у хворих на хронічний пієлонефрит: автореф. дис. на здобуття наук. ступеня канд. мед. наук: спец. 14.01.22 «Стоматологія» / Н.В. Прийма. – Полтава, 2006. – 19 с.</w:t>
      </w:r>
    </w:p>
    <w:p w:rsidR="0019442B" w:rsidRPr="00E5479E" w:rsidRDefault="0019442B" w:rsidP="00DA0CD3">
      <w:pPr>
        <w:numPr>
          <w:ilvl w:val="0"/>
          <w:numId w:val="70"/>
        </w:numPr>
        <w:suppressAutoHyphens w:val="0"/>
        <w:spacing w:line="360" w:lineRule="auto"/>
        <w:jc w:val="both"/>
        <w:rPr>
          <w:sz w:val="28"/>
        </w:rPr>
      </w:pPr>
      <w:r w:rsidRPr="00E5479E">
        <w:rPr>
          <w:sz w:val="28"/>
        </w:rPr>
        <w:t>Прийма Н.В. Обоснование использования отсроченного метода леч</w:t>
      </w:r>
      <w:r w:rsidRPr="00E5479E">
        <w:rPr>
          <w:sz w:val="28"/>
        </w:rPr>
        <w:t>е</w:t>
      </w:r>
      <w:r w:rsidRPr="00E5479E">
        <w:rPr>
          <w:sz w:val="28"/>
        </w:rPr>
        <w:t xml:space="preserve">ния хронического периодонтита у больных с </w:t>
      </w:r>
      <w:proofErr w:type="gramStart"/>
      <w:r w:rsidRPr="00E5479E">
        <w:rPr>
          <w:sz w:val="28"/>
        </w:rPr>
        <w:t>сопутствующим</w:t>
      </w:r>
      <w:proofErr w:type="gramEnd"/>
      <w:r w:rsidRPr="00E5479E">
        <w:rPr>
          <w:sz w:val="28"/>
        </w:rPr>
        <w:t xml:space="preserve"> пиелон</w:t>
      </w:r>
      <w:r w:rsidRPr="00E5479E">
        <w:rPr>
          <w:sz w:val="28"/>
        </w:rPr>
        <w:t>е</w:t>
      </w:r>
      <w:r w:rsidRPr="00E5479E">
        <w:rPr>
          <w:sz w:val="28"/>
        </w:rPr>
        <w:t xml:space="preserve">фритом / Н.В. Прийма // </w:t>
      </w:r>
      <w:r w:rsidRPr="00E5479E">
        <w:rPr>
          <w:sz w:val="28"/>
          <w:lang w:val="uk-UA"/>
        </w:rPr>
        <w:t>Український стоматологічний альманах. – 2005. – № 6. – С. 16-20.</w:t>
      </w:r>
    </w:p>
    <w:p w:rsidR="0019442B" w:rsidRPr="00E5479E" w:rsidRDefault="0019442B" w:rsidP="00DA0CD3">
      <w:pPr>
        <w:numPr>
          <w:ilvl w:val="0"/>
          <w:numId w:val="70"/>
        </w:numPr>
        <w:suppressAutoHyphens w:val="0"/>
        <w:spacing w:line="360" w:lineRule="auto"/>
        <w:jc w:val="both"/>
        <w:rPr>
          <w:sz w:val="28"/>
        </w:rPr>
      </w:pPr>
      <w:r w:rsidRPr="00E5479E">
        <w:rPr>
          <w:sz w:val="28"/>
        </w:rPr>
        <w:t>Рудаков И.Я. Практический опыт применения препарата гидроокиси кальция при лечении деструктивных форм хронического пери</w:t>
      </w:r>
      <w:r w:rsidRPr="00E5479E">
        <w:rPr>
          <w:sz w:val="28"/>
        </w:rPr>
        <w:t>о</w:t>
      </w:r>
      <w:r w:rsidRPr="00E5479E">
        <w:rPr>
          <w:sz w:val="28"/>
        </w:rPr>
        <w:t>донтита / И.Я. Рудаков, В.А. Рудакова // Стоматолог. – 2003. – № 12. – С. 12-14.</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lastRenderedPageBreak/>
        <w:t>Симоненко Р.В. Клініко-експериментальне обґрунтування використа</w:t>
      </w:r>
      <w:r w:rsidRPr="00E5479E">
        <w:rPr>
          <w:sz w:val="28"/>
          <w:szCs w:val="28"/>
          <w:lang w:val="uk-UA"/>
        </w:rPr>
        <w:t>н</w:t>
      </w:r>
      <w:r w:rsidRPr="00E5479E">
        <w:rPr>
          <w:sz w:val="28"/>
          <w:szCs w:val="28"/>
          <w:lang w:val="uk-UA"/>
        </w:rPr>
        <w:t>ня антисептиків у лікуванні періодонтиту: автореф. дис. на здобуття наук. ступеня канд. мед. наук: спец. 14.01.22 «Стоматологія» / Р.В. Симоне</w:t>
      </w:r>
      <w:r w:rsidRPr="00E5479E">
        <w:rPr>
          <w:sz w:val="28"/>
          <w:szCs w:val="28"/>
          <w:lang w:val="uk-UA"/>
        </w:rPr>
        <w:t>н</w:t>
      </w:r>
      <w:r w:rsidRPr="00E5479E">
        <w:rPr>
          <w:sz w:val="28"/>
          <w:szCs w:val="28"/>
          <w:lang w:val="uk-UA"/>
        </w:rPr>
        <w:t>ко. – К., 2003. – 18 с.</w:t>
      </w:r>
    </w:p>
    <w:p w:rsidR="0019442B" w:rsidRPr="00E5479E" w:rsidRDefault="0019442B" w:rsidP="00DA0CD3">
      <w:pPr>
        <w:numPr>
          <w:ilvl w:val="0"/>
          <w:numId w:val="70"/>
        </w:numPr>
        <w:suppressAutoHyphens w:val="0"/>
        <w:spacing w:line="360" w:lineRule="auto"/>
        <w:jc w:val="both"/>
        <w:rPr>
          <w:sz w:val="28"/>
        </w:rPr>
      </w:pPr>
      <w:r w:rsidRPr="00E5479E">
        <w:rPr>
          <w:sz w:val="28"/>
          <w:szCs w:val="28"/>
          <w:lang w:val="uk-UA"/>
        </w:rPr>
        <w:t>Скотаренко А.В. Удосконалення методів лікування деструктивних форм періодонтиту із застосуванням циклофосфану: автореф. дис. на здобуття наук. ступеня канд. мед. наук: спец. 14.01.22 «Стоматологія» / А.В. Ск</w:t>
      </w:r>
      <w:r w:rsidRPr="00E5479E">
        <w:rPr>
          <w:sz w:val="28"/>
          <w:szCs w:val="28"/>
          <w:lang w:val="uk-UA"/>
        </w:rPr>
        <w:t>о</w:t>
      </w:r>
      <w:r w:rsidRPr="00E5479E">
        <w:rPr>
          <w:sz w:val="28"/>
          <w:szCs w:val="28"/>
          <w:lang w:val="uk-UA"/>
        </w:rPr>
        <w:t>таренко. – Одеса, 2005. – 20 с.</w:t>
      </w:r>
    </w:p>
    <w:p w:rsidR="0019442B" w:rsidRPr="00E5479E" w:rsidRDefault="0019442B" w:rsidP="00DA0CD3">
      <w:pPr>
        <w:numPr>
          <w:ilvl w:val="0"/>
          <w:numId w:val="70"/>
        </w:numPr>
        <w:suppressAutoHyphens w:val="0"/>
        <w:spacing w:line="360" w:lineRule="auto"/>
        <w:jc w:val="both"/>
        <w:rPr>
          <w:sz w:val="28"/>
        </w:rPr>
      </w:pPr>
      <w:r w:rsidRPr="00E5479E">
        <w:rPr>
          <w:sz w:val="28"/>
          <w:lang w:val="uk-UA"/>
        </w:rPr>
        <w:t>Смоляр Н.І. Ефективність використання депофорезу гідроксиду міді-кальцію при повторному ендодонтичному втручанні з метою лікування деструктивних форм періодонтитів / Н.І. Смоляр, І.С. Дубецька // Н</w:t>
      </w:r>
      <w:r w:rsidRPr="00E5479E">
        <w:rPr>
          <w:sz w:val="28"/>
          <w:lang w:val="uk-UA"/>
        </w:rPr>
        <w:t>о</w:t>
      </w:r>
      <w:r w:rsidRPr="00E5479E">
        <w:rPr>
          <w:sz w:val="28"/>
          <w:lang w:val="uk-UA"/>
        </w:rPr>
        <w:t>вини стоматологія. – 2006. – № 2. – С. 38-40.</w:t>
      </w:r>
    </w:p>
    <w:p w:rsidR="0019442B" w:rsidRPr="00E5479E" w:rsidRDefault="0019442B" w:rsidP="00DA0CD3">
      <w:pPr>
        <w:numPr>
          <w:ilvl w:val="0"/>
          <w:numId w:val="70"/>
        </w:numPr>
        <w:suppressAutoHyphens w:val="0"/>
        <w:spacing w:line="360" w:lineRule="auto"/>
        <w:jc w:val="both"/>
        <w:rPr>
          <w:sz w:val="28"/>
        </w:rPr>
      </w:pPr>
      <w:r w:rsidRPr="00E5479E">
        <w:rPr>
          <w:sz w:val="28"/>
        </w:rPr>
        <w:t>Состояние местного иммунитета полости рта при верхушечном пери</w:t>
      </w:r>
      <w:r w:rsidRPr="00E5479E">
        <w:rPr>
          <w:sz w:val="28"/>
        </w:rPr>
        <w:t>о</w:t>
      </w:r>
      <w:r w:rsidRPr="00E5479E">
        <w:rPr>
          <w:sz w:val="28"/>
        </w:rPr>
        <w:t xml:space="preserve">донтите у больных с сопутствующим хроническим пиелонефритом / Н.В. Прийма, Л.И. Авдонина, А.И. Гордиенко </w:t>
      </w:r>
      <w:r w:rsidRPr="0019442B">
        <w:rPr>
          <w:sz w:val="28"/>
        </w:rPr>
        <w:t>[</w:t>
      </w:r>
      <w:r w:rsidRPr="00E5479E">
        <w:rPr>
          <w:sz w:val="28"/>
        </w:rPr>
        <w:t>и др.</w:t>
      </w:r>
      <w:r w:rsidRPr="0019442B">
        <w:rPr>
          <w:sz w:val="28"/>
        </w:rPr>
        <w:t>]</w:t>
      </w:r>
      <w:r w:rsidRPr="00E5479E">
        <w:rPr>
          <w:sz w:val="28"/>
        </w:rPr>
        <w:t xml:space="preserve"> // </w:t>
      </w:r>
      <w:proofErr w:type="gramStart"/>
      <w:r w:rsidRPr="00E5479E">
        <w:rPr>
          <w:sz w:val="28"/>
          <w:lang w:val="uk-UA"/>
        </w:rPr>
        <w:t>В</w:t>
      </w:r>
      <w:proofErr w:type="gramEnd"/>
      <w:r w:rsidRPr="00E5479E">
        <w:rPr>
          <w:sz w:val="28"/>
          <w:lang w:val="uk-UA"/>
        </w:rPr>
        <w:t>і</w:t>
      </w:r>
      <w:r w:rsidRPr="00E5479E">
        <w:rPr>
          <w:sz w:val="28"/>
          <w:lang w:val="uk-UA"/>
        </w:rPr>
        <w:t>с</w:t>
      </w:r>
      <w:r w:rsidRPr="00E5479E">
        <w:rPr>
          <w:sz w:val="28"/>
          <w:lang w:val="uk-UA"/>
        </w:rPr>
        <w:t>ник проблем біол</w:t>
      </w:r>
      <w:r w:rsidRPr="00E5479E">
        <w:rPr>
          <w:sz w:val="28"/>
          <w:lang w:val="uk-UA"/>
        </w:rPr>
        <w:t>о</w:t>
      </w:r>
      <w:r w:rsidRPr="00E5479E">
        <w:rPr>
          <w:sz w:val="28"/>
          <w:lang w:val="uk-UA"/>
        </w:rPr>
        <w:t>гії і медицини. – 2005. – Випуск 3. – С. 145-150.</w:t>
      </w:r>
    </w:p>
    <w:p w:rsidR="0019442B" w:rsidRPr="00E5479E" w:rsidRDefault="0019442B" w:rsidP="00DA0CD3">
      <w:pPr>
        <w:numPr>
          <w:ilvl w:val="0"/>
          <w:numId w:val="70"/>
        </w:numPr>
        <w:suppressAutoHyphens w:val="0"/>
        <w:spacing w:line="360" w:lineRule="auto"/>
        <w:jc w:val="both"/>
        <w:rPr>
          <w:sz w:val="28"/>
          <w:szCs w:val="28"/>
        </w:rPr>
      </w:pPr>
      <w:r w:rsidRPr="00E5479E">
        <w:rPr>
          <w:rFonts w:eastAsia="Arial Unicode MS"/>
          <w:color w:val="000000"/>
          <w:sz w:val="28"/>
          <w:szCs w:val="28"/>
        </w:rPr>
        <w:t>Стальная И.Д. Метод определения диеновой конъюгации ненасыще</w:t>
      </w:r>
      <w:r w:rsidRPr="00E5479E">
        <w:rPr>
          <w:rFonts w:eastAsia="Arial Unicode MS"/>
          <w:color w:val="000000"/>
          <w:sz w:val="28"/>
          <w:szCs w:val="28"/>
        </w:rPr>
        <w:t>н</w:t>
      </w:r>
      <w:r w:rsidRPr="00E5479E">
        <w:rPr>
          <w:rFonts w:eastAsia="Arial Unicode MS"/>
          <w:color w:val="000000"/>
          <w:sz w:val="28"/>
          <w:szCs w:val="28"/>
        </w:rPr>
        <w:t>ных</w:t>
      </w:r>
      <w:r w:rsidRPr="00E5479E">
        <w:rPr>
          <w:sz w:val="28"/>
          <w:szCs w:val="28"/>
        </w:rPr>
        <w:t xml:space="preserve"> высших жирных кислот / И.Д. Стальная // Современные методы в би</w:t>
      </w:r>
      <w:r w:rsidRPr="00E5479E">
        <w:rPr>
          <w:sz w:val="28"/>
          <w:szCs w:val="28"/>
        </w:rPr>
        <w:t>о</w:t>
      </w:r>
      <w:r w:rsidRPr="00E5479E">
        <w:rPr>
          <w:sz w:val="28"/>
          <w:szCs w:val="28"/>
        </w:rPr>
        <w:t>химии. – М.: Медицина, 1977. – С. 63-64.</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Стальная И.Д. Метод определения малонового диальдегида с п</w:t>
      </w:r>
      <w:r w:rsidRPr="00E5479E">
        <w:rPr>
          <w:sz w:val="28"/>
          <w:szCs w:val="28"/>
        </w:rPr>
        <w:t>о</w:t>
      </w:r>
      <w:r w:rsidRPr="00E5479E">
        <w:rPr>
          <w:sz w:val="28"/>
          <w:szCs w:val="28"/>
        </w:rPr>
        <w:t>мощью тиобарбитуровой кислоты / И.Д. Стальная, Т.Г. Гаришвили // Совр</w:t>
      </w:r>
      <w:r w:rsidRPr="00E5479E">
        <w:rPr>
          <w:sz w:val="28"/>
          <w:szCs w:val="28"/>
        </w:rPr>
        <w:t>е</w:t>
      </w:r>
      <w:r w:rsidRPr="00E5479E">
        <w:rPr>
          <w:sz w:val="28"/>
          <w:szCs w:val="28"/>
        </w:rPr>
        <w:t>менные методы в биохимии. – М.: Медицина, 1977. – С. 66-68.</w:t>
      </w:r>
    </w:p>
    <w:p w:rsidR="0019442B" w:rsidRPr="00E5479E" w:rsidRDefault="0019442B" w:rsidP="00DA0CD3">
      <w:pPr>
        <w:numPr>
          <w:ilvl w:val="0"/>
          <w:numId w:val="70"/>
        </w:numPr>
        <w:suppressAutoHyphens w:val="0"/>
        <w:spacing w:line="360" w:lineRule="auto"/>
        <w:jc w:val="both"/>
        <w:rPr>
          <w:sz w:val="28"/>
        </w:rPr>
      </w:pPr>
      <w:r w:rsidRPr="00E5479E">
        <w:rPr>
          <w:sz w:val="28"/>
        </w:rPr>
        <w:t>Татаров С.В. Влияние пептидогликанов стрептококков на продукцию моноцитами фактора некроза опухол</w:t>
      </w:r>
      <w:proofErr w:type="gramStart"/>
      <w:r w:rsidRPr="00E5479E">
        <w:rPr>
          <w:sz w:val="28"/>
        </w:rPr>
        <w:t>и-</w:t>
      </w:r>
      <w:proofErr w:type="gramEnd"/>
      <w:r w:rsidRPr="00E5479E">
        <w:rPr>
          <w:sz w:val="28"/>
        </w:rPr>
        <w:t xml:space="preserve">α / С.В. Татаров // </w:t>
      </w:r>
      <w:r w:rsidRPr="00E5479E">
        <w:rPr>
          <w:sz w:val="28"/>
          <w:lang w:val="uk-UA"/>
        </w:rPr>
        <w:t>Український медичний альманах</w:t>
      </w:r>
      <w:r w:rsidRPr="00E5479E">
        <w:rPr>
          <w:sz w:val="28"/>
        </w:rPr>
        <w:t>. – 2002. – № 5. – С. 143-145.</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Терешкина Л.В. Морфофункциональное состояние моноцитарной с</w:t>
      </w:r>
      <w:r w:rsidRPr="00E5479E">
        <w:rPr>
          <w:sz w:val="28"/>
          <w:szCs w:val="28"/>
        </w:rPr>
        <w:t>и</w:t>
      </w:r>
      <w:r w:rsidRPr="00E5479E">
        <w:rPr>
          <w:sz w:val="28"/>
          <w:szCs w:val="28"/>
        </w:rPr>
        <w:t>стемы при хроническом верхушечном периодонтите / Л.В. Терешкина // Труды Смоленского медицинского института. – См</w:t>
      </w:r>
      <w:r w:rsidRPr="00E5479E">
        <w:rPr>
          <w:sz w:val="28"/>
          <w:szCs w:val="28"/>
        </w:rPr>
        <w:t>о</w:t>
      </w:r>
      <w:r w:rsidRPr="00E5479E">
        <w:rPr>
          <w:sz w:val="28"/>
          <w:szCs w:val="28"/>
        </w:rPr>
        <w:t>ленск. – 1978. – Т. 55. – С. 48-51.</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lastRenderedPageBreak/>
        <w:t>Тимофеев А.А. Гивалекс в профилактике и лечении воспалительных осложнений, связанных с удалением зубов / А.А. Тимофеев, В.А. Гр</w:t>
      </w:r>
      <w:r w:rsidRPr="00E5479E">
        <w:rPr>
          <w:sz w:val="28"/>
          <w:szCs w:val="28"/>
        </w:rPr>
        <w:t>о</w:t>
      </w:r>
      <w:r w:rsidRPr="00E5479E">
        <w:rPr>
          <w:sz w:val="28"/>
          <w:szCs w:val="28"/>
        </w:rPr>
        <w:t>хотов // Современная стоматология. – 2007. – № 2. – С. 92-96.</w:t>
      </w:r>
    </w:p>
    <w:p w:rsidR="0019442B" w:rsidRPr="00E5479E" w:rsidRDefault="0019442B" w:rsidP="00DA0CD3">
      <w:pPr>
        <w:numPr>
          <w:ilvl w:val="0"/>
          <w:numId w:val="70"/>
        </w:numPr>
        <w:suppressAutoHyphens w:val="0"/>
        <w:spacing w:line="360" w:lineRule="auto"/>
        <w:jc w:val="both"/>
        <w:rPr>
          <w:sz w:val="28"/>
        </w:rPr>
      </w:pPr>
      <w:r w:rsidRPr="00E5479E">
        <w:rPr>
          <w:sz w:val="28"/>
          <w:lang w:val="uk-UA"/>
        </w:rPr>
        <w:t>Ткаченко П.І. Загострення хронічного гранулюючого періодонтиту тимчасових молярів: характер клінічних проявів і особливості кліти</w:t>
      </w:r>
      <w:r w:rsidRPr="00E5479E">
        <w:rPr>
          <w:sz w:val="28"/>
          <w:lang w:val="uk-UA"/>
        </w:rPr>
        <w:t>н</w:t>
      </w:r>
      <w:r w:rsidRPr="00E5479E">
        <w:rPr>
          <w:sz w:val="28"/>
          <w:lang w:val="uk-UA"/>
        </w:rPr>
        <w:t>ного імунітету / П.І. Ткаченко, А.М. Гоголь // Новини стоматології. – 2006. – № 1. – С. 27-30.</w:t>
      </w:r>
    </w:p>
    <w:p w:rsidR="0019442B" w:rsidRPr="00E5479E" w:rsidRDefault="0019442B" w:rsidP="00DA0CD3">
      <w:pPr>
        <w:numPr>
          <w:ilvl w:val="0"/>
          <w:numId w:val="70"/>
        </w:numPr>
        <w:suppressAutoHyphens w:val="0"/>
        <w:spacing w:line="360" w:lineRule="auto"/>
        <w:jc w:val="both"/>
        <w:rPr>
          <w:sz w:val="28"/>
        </w:rPr>
      </w:pPr>
      <w:r w:rsidRPr="00E5479E">
        <w:rPr>
          <w:sz w:val="28"/>
        </w:rPr>
        <w:t>Трубка И.А. Клинические аспекты применения антигомотоксических препаратов в комплексном лечении хронического периодо</w:t>
      </w:r>
      <w:r w:rsidRPr="00E5479E">
        <w:rPr>
          <w:sz w:val="28"/>
        </w:rPr>
        <w:t>н</w:t>
      </w:r>
      <w:r w:rsidRPr="00E5479E">
        <w:rPr>
          <w:sz w:val="28"/>
        </w:rPr>
        <w:t xml:space="preserve">тита / И.А. Трубка, И.А. Моложанов, С.А. Хитрова, Е.В. Дементьева // </w:t>
      </w:r>
      <w:r w:rsidRPr="00E5479E">
        <w:rPr>
          <w:sz w:val="28"/>
          <w:lang w:val="uk-UA"/>
        </w:rPr>
        <w:t>Український ст</w:t>
      </w:r>
      <w:r w:rsidRPr="00E5479E">
        <w:rPr>
          <w:sz w:val="28"/>
          <w:lang w:val="uk-UA"/>
        </w:rPr>
        <w:t>о</w:t>
      </w:r>
      <w:r w:rsidRPr="00E5479E">
        <w:rPr>
          <w:sz w:val="28"/>
          <w:lang w:val="uk-UA"/>
        </w:rPr>
        <w:t>матологічний альманах. – 2007. – № 5. – С. 31-34.</w:t>
      </w:r>
    </w:p>
    <w:p w:rsidR="0019442B" w:rsidRPr="00E5479E" w:rsidRDefault="0019442B" w:rsidP="00DA0CD3">
      <w:pPr>
        <w:numPr>
          <w:ilvl w:val="0"/>
          <w:numId w:val="70"/>
        </w:numPr>
        <w:suppressAutoHyphens w:val="0"/>
        <w:spacing w:line="360" w:lineRule="auto"/>
        <w:jc w:val="both"/>
        <w:rPr>
          <w:sz w:val="28"/>
        </w:rPr>
      </w:pPr>
      <w:r w:rsidRPr="00E5479E">
        <w:rPr>
          <w:sz w:val="28"/>
        </w:rPr>
        <w:t>Уилтон</w:t>
      </w:r>
      <w:proofErr w:type="gramStart"/>
      <w:r w:rsidRPr="00E5479E">
        <w:rPr>
          <w:sz w:val="28"/>
        </w:rPr>
        <w:t xml:space="preserve"> Д</w:t>
      </w:r>
      <w:proofErr w:type="gramEnd"/>
      <w:r w:rsidRPr="00E5479E">
        <w:rPr>
          <w:sz w:val="28"/>
        </w:rPr>
        <w:t>ж.М.А. Иммунологические и бактериологические аспекты болезни периодонта. Последние достижения в клинической иммунол</w:t>
      </w:r>
      <w:r w:rsidRPr="00E5479E">
        <w:rPr>
          <w:sz w:val="28"/>
        </w:rPr>
        <w:t>о</w:t>
      </w:r>
      <w:r w:rsidRPr="00E5479E">
        <w:rPr>
          <w:sz w:val="28"/>
        </w:rPr>
        <w:t>гии</w:t>
      </w:r>
      <w:proofErr w:type="gramStart"/>
      <w:r w:rsidRPr="00E5479E">
        <w:rPr>
          <w:sz w:val="28"/>
        </w:rPr>
        <w:t xml:space="preserve"> / Д</w:t>
      </w:r>
      <w:proofErr w:type="gramEnd"/>
      <w:r w:rsidRPr="00E5479E">
        <w:rPr>
          <w:sz w:val="28"/>
        </w:rPr>
        <w:t>ж.М.А. Уилтон, Т. Ленер. – М. – 1983. – С. 201-252.</w:t>
      </w:r>
    </w:p>
    <w:p w:rsidR="0019442B" w:rsidRPr="00E5479E" w:rsidRDefault="0019442B" w:rsidP="00DA0CD3">
      <w:pPr>
        <w:numPr>
          <w:ilvl w:val="0"/>
          <w:numId w:val="70"/>
        </w:numPr>
        <w:suppressAutoHyphens w:val="0"/>
        <w:spacing w:line="360" w:lineRule="auto"/>
        <w:jc w:val="both"/>
        <w:rPr>
          <w:sz w:val="28"/>
          <w:szCs w:val="28"/>
        </w:rPr>
      </w:pPr>
      <w:r w:rsidRPr="00E5479E">
        <w:rPr>
          <w:sz w:val="28"/>
          <w:szCs w:val="28"/>
        </w:rPr>
        <w:t>Уракова Е.Б. Использование различных моноклональных антител для идентификации Т-лимфоцитов человека / Е.Б. Уракова, О.А. Замалд</w:t>
      </w:r>
      <w:r w:rsidRPr="00E5479E">
        <w:rPr>
          <w:sz w:val="28"/>
          <w:szCs w:val="28"/>
        </w:rPr>
        <w:t>и</w:t>
      </w:r>
      <w:r w:rsidRPr="00E5479E">
        <w:rPr>
          <w:sz w:val="28"/>
          <w:szCs w:val="28"/>
        </w:rPr>
        <w:t>нова, А.В. Симонова // Иммунол</w:t>
      </w:r>
      <w:r w:rsidRPr="00E5479E">
        <w:rPr>
          <w:sz w:val="28"/>
          <w:szCs w:val="28"/>
        </w:rPr>
        <w:t>о</w:t>
      </w:r>
      <w:r w:rsidRPr="00E5479E">
        <w:rPr>
          <w:sz w:val="28"/>
          <w:szCs w:val="28"/>
        </w:rPr>
        <w:t>гия. – 1989. – № 1. – С. 61-63.</w:t>
      </w:r>
    </w:p>
    <w:p w:rsidR="0019442B" w:rsidRPr="00E5479E" w:rsidRDefault="0019442B" w:rsidP="00DA0CD3">
      <w:pPr>
        <w:numPr>
          <w:ilvl w:val="0"/>
          <w:numId w:val="70"/>
        </w:numPr>
        <w:suppressAutoHyphens w:val="0"/>
        <w:spacing w:line="360" w:lineRule="auto"/>
        <w:jc w:val="both"/>
        <w:rPr>
          <w:sz w:val="28"/>
          <w:lang w:val="uk-UA"/>
        </w:rPr>
      </w:pPr>
      <w:r w:rsidRPr="00E5479E">
        <w:rPr>
          <w:sz w:val="28"/>
          <w:lang w:val="uk-UA"/>
        </w:rPr>
        <w:t>Флегонтова В.В. Антикомплементарна активність стафілококів – збу</w:t>
      </w:r>
      <w:r w:rsidRPr="00E5479E">
        <w:rPr>
          <w:sz w:val="28"/>
          <w:lang w:val="uk-UA"/>
        </w:rPr>
        <w:t>д</w:t>
      </w:r>
      <w:r w:rsidRPr="00E5479E">
        <w:rPr>
          <w:sz w:val="28"/>
          <w:lang w:val="uk-UA"/>
        </w:rPr>
        <w:t>ників нозокоміальних захворювань / В.В. Флегонтова // Бук</w:t>
      </w:r>
      <w:r w:rsidRPr="00E5479E">
        <w:rPr>
          <w:sz w:val="28"/>
          <w:lang w:val="uk-UA"/>
        </w:rPr>
        <w:t>о</w:t>
      </w:r>
      <w:r w:rsidRPr="00E5479E">
        <w:rPr>
          <w:sz w:val="28"/>
          <w:lang w:val="uk-UA"/>
        </w:rPr>
        <w:t>винський медичний вісник. – 2000. – № 1. – С. 226-228.</w:t>
      </w:r>
    </w:p>
    <w:p w:rsidR="0019442B" w:rsidRPr="00E5479E" w:rsidRDefault="0019442B" w:rsidP="00DA0CD3">
      <w:pPr>
        <w:numPr>
          <w:ilvl w:val="0"/>
          <w:numId w:val="70"/>
        </w:numPr>
        <w:suppressAutoHyphens w:val="0"/>
        <w:spacing w:line="360" w:lineRule="auto"/>
        <w:jc w:val="both"/>
        <w:rPr>
          <w:sz w:val="28"/>
          <w:lang w:val="uk-UA"/>
        </w:rPr>
      </w:pPr>
      <w:r w:rsidRPr="00E5479E">
        <w:rPr>
          <w:sz w:val="28"/>
          <w:szCs w:val="28"/>
        </w:rPr>
        <w:t>Хейфец Л.Б. Разделение форменных элементов крови человека в град</w:t>
      </w:r>
      <w:r w:rsidRPr="00E5479E">
        <w:rPr>
          <w:sz w:val="28"/>
          <w:szCs w:val="28"/>
        </w:rPr>
        <w:t>и</w:t>
      </w:r>
      <w:r w:rsidRPr="00E5479E">
        <w:rPr>
          <w:sz w:val="28"/>
          <w:szCs w:val="28"/>
        </w:rPr>
        <w:t>енте плотности верографин-фиколл / Л.Б. Хейфец, В.А. Абалакина // Лабораторное дело. – 1973. – № 10. – С. 579-581.</w:t>
      </w:r>
    </w:p>
    <w:p w:rsidR="0019442B" w:rsidRPr="00E5479E" w:rsidRDefault="0019442B" w:rsidP="00DA0CD3">
      <w:pPr>
        <w:numPr>
          <w:ilvl w:val="0"/>
          <w:numId w:val="70"/>
        </w:numPr>
        <w:suppressAutoHyphens w:val="0"/>
        <w:spacing w:line="360" w:lineRule="auto"/>
        <w:jc w:val="both"/>
        <w:rPr>
          <w:sz w:val="28"/>
          <w:lang w:val="uk-UA"/>
        </w:rPr>
      </w:pPr>
      <w:r w:rsidRPr="00E5479E">
        <w:rPr>
          <w:sz w:val="28"/>
        </w:rPr>
        <w:t>Чалая Т.А. Клинико-патогенетическое обоснование отсроченного эта</w:t>
      </w:r>
      <w:r w:rsidRPr="00E5479E">
        <w:rPr>
          <w:sz w:val="28"/>
        </w:rPr>
        <w:t>п</w:t>
      </w:r>
      <w:r w:rsidRPr="00E5479E">
        <w:rPr>
          <w:sz w:val="28"/>
        </w:rPr>
        <w:t xml:space="preserve">ного метода эндодонтического лечения пульпитов и периодонтитов / Т.А. Чалая // </w:t>
      </w:r>
      <w:r w:rsidRPr="00E5479E">
        <w:rPr>
          <w:sz w:val="28"/>
          <w:lang w:val="uk-UA"/>
        </w:rPr>
        <w:t>Український медичний альм</w:t>
      </w:r>
      <w:r w:rsidRPr="00E5479E">
        <w:rPr>
          <w:sz w:val="28"/>
          <w:lang w:val="uk-UA"/>
        </w:rPr>
        <w:t>а</w:t>
      </w:r>
      <w:r w:rsidRPr="00E5479E">
        <w:rPr>
          <w:sz w:val="28"/>
          <w:lang w:val="uk-UA"/>
        </w:rPr>
        <w:t xml:space="preserve">нах. – 2005. </w:t>
      </w:r>
      <w:r w:rsidRPr="00E5479E">
        <w:rPr>
          <w:sz w:val="28"/>
          <w:szCs w:val="28"/>
        </w:rPr>
        <w:t>–</w:t>
      </w:r>
      <w:r w:rsidRPr="00E5479E">
        <w:rPr>
          <w:sz w:val="28"/>
          <w:lang w:val="uk-UA"/>
        </w:rPr>
        <w:t xml:space="preserve"> № 3. – С. 179-181.</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Черкашин С.И. Состояние иммунологической реактивности после консервативного лечения и хирургического удаления зубов с хр</w:t>
      </w:r>
      <w:r w:rsidRPr="00E5479E">
        <w:rPr>
          <w:b/>
          <w:sz w:val="28"/>
        </w:rPr>
        <w:t>о</w:t>
      </w:r>
      <w:r w:rsidRPr="00E5479E">
        <w:rPr>
          <w:b/>
          <w:sz w:val="28"/>
        </w:rPr>
        <w:t>ническим периодонтитом / С.И. Черкашин // Стоматология. – 1990. – Выпуск 25. – C. 29-32.</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 xml:space="preserve">Черкашин С.И. Состояние иммунологической реактивности у лиц с </w:t>
      </w:r>
      <w:r w:rsidRPr="00E5479E">
        <w:rPr>
          <w:b/>
          <w:sz w:val="28"/>
        </w:rPr>
        <w:lastRenderedPageBreak/>
        <w:t>хроническим гранулирующим и гранулематозным периодонтитом / С.И. Черкашин, Н.С. Рубас // Стоматология. – 1986. – № 2. – С. 19-20.</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Чиликин В.Н. Ошибки эндодонтического лечения, приводящие к нарушению эстетики. Методы коррекции эстетических параметров / В.Н. Чиликин // Клиническая стоматология. – 2005. – № 1. – С. 28-29.</w:t>
      </w:r>
    </w:p>
    <w:p w:rsidR="0019442B" w:rsidRPr="00E5479E" w:rsidRDefault="0019442B" w:rsidP="00DA0CD3">
      <w:pPr>
        <w:numPr>
          <w:ilvl w:val="0"/>
          <w:numId w:val="70"/>
        </w:numPr>
        <w:suppressAutoHyphens w:val="0"/>
        <w:spacing w:line="360" w:lineRule="auto"/>
        <w:jc w:val="both"/>
        <w:rPr>
          <w:sz w:val="28"/>
        </w:rPr>
      </w:pPr>
      <w:r w:rsidRPr="00E5479E">
        <w:rPr>
          <w:sz w:val="28"/>
          <w:szCs w:val="28"/>
        </w:rPr>
        <w:t>Чукаева Н.А. Выбор метода лечения больных острым и обостри</w:t>
      </w:r>
      <w:r w:rsidRPr="00E5479E">
        <w:rPr>
          <w:sz w:val="28"/>
          <w:szCs w:val="28"/>
        </w:rPr>
        <w:t>в</w:t>
      </w:r>
      <w:r w:rsidRPr="00E5479E">
        <w:rPr>
          <w:sz w:val="28"/>
          <w:szCs w:val="28"/>
        </w:rPr>
        <w:t>шимся хроническим периодонтитом на основании клинико-иммунологических показателей</w:t>
      </w:r>
      <w:r w:rsidRPr="00E5479E">
        <w:rPr>
          <w:sz w:val="28"/>
          <w:szCs w:val="28"/>
          <w:lang w:val="uk-UA"/>
        </w:rPr>
        <w:t>: автореф. дис. на здобуття наук</w:t>
      </w:r>
      <w:proofErr w:type="gramStart"/>
      <w:r w:rsidRPr="00E5479E">
        <w:rPr>
          <w:sz w:val="28"/>
          <w:szCs w:val="28"/>
          <w:lang w:val="uk-UA"/>
        </w:rPr>
        <w:t>.</w:t>
      </w:r>
      <w:proofErr w:type="gramEnd"/>
      <w:r w:rsidRPr="00E5479E">
        <w:rPr>
          <w:sz w:val="28"/>
          <w:szCs w:val="28"/>
          <w:lang w:val="uk-UA"/>
        </w:rPr>
        <w:t xml:space="preserve"> </w:t>
      </w:r>
      <w:proofErr w:type="gramStart"/>
      <w:r w:rsidRPr="00E5479E">
        <w:rPr>
          <w:sz w:val="28"/>
          <w:szCs w:val="28"/>
          <w:lang w:val="uk-UA"/>
        </w:rPr>
        <w:t>с</w:t>
      </w:r>
      <w:proofErr w:type="gramEnd"/>
      <w:r w:rsidRPr="00E5479E">
        <w:rPr>
          <w:sz w:val="28"/>
          <w:szCs w:val="28"/>
          <w:lang w:val="uk-UA"/>
        </w:rPr>
        <w:t>туп</w:t>
      </w:r>
      <w:r w:rsidRPr="00E5479E">
        <w:rPr>
          <w:sz w:val="28"/>
          <w:szCs w:val="28"/>
          <w:lang w:val="uk-UA"/>
        </w:rPr>
        <w:t>е</w:t>
      </w:r>
      <w:r w:rsidRPr="00E5479E">
        <w:rPr>
          <w:sz w:val="28"/>
          <w:szCs w:val="28"/>
          <w:lang w:val="uk-UA"/>
        </w:rPr>
        <w:t>ня канд. мед. наук: спец. 14.01.22 «Стоматологія» / Н.А. Чук</w:t>
      </w:r>
      <w:r w:rsidRPr="00E5479E">
        <w:rPr>
          <w:sz w:val="28"/>
          <w:szCs w:val="28"/>
          <w:lang w:val="uk-UA"/>
        </w:rPr>
        <w:t>а</w:t>
      </w:r>
      <w:r w:rsidRPr="00E5479E">
        <w:rPr>
          <w:sz w:val="28"/>
          <w:szCs w:val="28"/>
          <w:lang w:val="uk-UA"/>
        </w:rPr>
        <w:t>ева. – М., 1990. – 19 с.</w:t>
      </w:r>
    </w:p>
    <w:p w:rsidR="0019442B" w:rsidRPr="00E5479E" w:rsidRDefault="0019442B" w:rsidP="00DA0CD3">
      <w:pPr>
        <w:numPr>
          <w:ilvl w:val="0"/>
          <w:numId w:val="70"/>
        </w:numPr>
        <w:suppressAutoHyphens w:val="0"/>
        <w:spacing w:line="360" w:lineRule="auto"/>
        <w:jc w:val="both"/>
        <w:rPr>
          <w:sz w:val="28"/>
          <w:szCs w:val="28"/>
          <w:lang w:val="uk-UA"/>
        </w:rPr>
      </w:pPr>
      <w:r w:rsidRPr="00E5479E">
        <w:rPr>
          <w:sz w:val="28"/>
          <w:szCs w:val="28"/>
          <w:lang w:val="uk-UA"/>
        </w:rPr>
        <w:t>Чутливість до антибіотиків збудників гнійно-запальних захворювань хірургічного профілю / І.С. Гайдаш, В.В. Флегонтова, М.Ю. Шевченко [та ін.] // Український хіміотерапевтичний журнал. – 2001. - № 2. – С. 29-32.</w:t>
      </w:r>
    </w:p>
    <w:p w:rsidR="0019442B" w:rsidRPr="004C69CB" w:rsidRDefault="0019442B" w:rsidP="00DA0CD3">
      <w:pPr>
        <w:widowControl w:val="0"/>
        <w:numPr>
          <w:ilvl w:val="0"/>
          <w:numId w:val="70"/>
        </w:numPr>
        <w:shd w:val="clear" w:color="auto" w:fill="FFFFFF"/>
        <w:suppressAutoHyphens w:val="0"/>
        <w:spacing w:line="360" w:lineRule="auto"/>
        <w:jc w:val="both"/>
        <w:rPr>
          <w:b/>
          <w:sz w:val="28"/>
          <w:lang w:val="uk-UA"/>
        </w:rPr>
      </w:pPr>
      <w:r w:rsidRPr="00E5479E">
        <w:rPr>
          <w:b/>
          <w:sz w:val="28"/>
          <w:lang w:val="uk-UA"/>
        </w:rPr>
        <w:t>Югов В.К. Про достовірність рентгенологічних ознак між хронічним проліферативним (грануляційним) і гнійним періодонтитом / В.К. Югов, Т.Д. Бублій, Т.П. Скрипникова // Український стоматологічний альм</w:t>
      </w:r>
      <w:r w:rsidRPr="00E5479E">
        <w:rPr>
          <w:b/>
          <w:sz w:val="28"/>
          <w:lang w:val="uk-UA"/>
        </w:rPr>
        <w:t>а</w:t>
      </w:r>
      <w:r w:rsidRPr="00E5479E">
        <w:rPr>
          <w:b/>
          <w:sz w:val="28"/>
          <w:lang w:val="uk-UA"/>
        </w:rPr>
        <w:t>нах. – 2006. – № 6. – С. 26-29.</w:t>
      </w:r>
    </w:p>
    <w:p w:rsidR="0019442B" w:rsidRPr="004C69CB" w:rsidRDefault="0019442B" w:rsidP="00DA0CD3">
      <w:pPr>
        <w:widowControl w:val="0"/>
        <w:numPr>
          <w:ilvl w:val="0"/>
          <w:numId w:val="70"/>
        </w:numPr>
        <w:shd w:val="clear" w:color="auto" w:fill="FFFFFF"/>
        <w:suppressAutoHyphens w:val="0"/>
        <w:spacing w:line="360" w:lineRule="auto"/>
        <w:jc w:val="both"/>
        <w:rPr>
          <w:b/>
          <w:sz w:val="28"/>
          <w:lang w:val="uk-UA"/>
        </w:rPr>
      </w:pPr>
      <w:r w:rsidRPr="00E5479E">
        <w:rPr>
          <w:b/>
          <w:sz w:val="28"/>
          <w:lang w:val="uk-UA"/>
        </w:rPr>
        <w:t>Югов В.К. Рентгенологічна семіотика хронічного гранулюючого та а</w:t>
      </w:r>
      <w:r w:rsidRPr="00E5479E">
        <w:rPr>
          <w:b/>
          <w:sz w:val="28"/>
          <w:lang w:val="uk-UA"/>
        </w:rPr>
        <w:t>б</w:t>
      </w:r>
      <w:r w:rsidRPr="00E5479E">
        <w:rPr>
          <w:b/>
          <w:sz w:val="28"/>
          <w:lang w:val="uk-UA"/>
        </w:rPr>
        <w:t>сцедуючого гнійного періодонтиту / В.К. Югов, Т.Д. Бублій // Рентг</w:t>
      </w:r>
      <w:r w:rsidRPr="00E5479E">
        <w:rPr>
          <w:b/>
          <w:sz w:val="28"/>
          <w:lang w:val="uk-UA"/>
        </w:rPr>
        <w:t>е</w:t>
      </w:r>
      <w:r w:rsidRPr="00E5479E">
        <w:rPr>
          <w:b/>
          <w:sz w:val="28"/>
          <w:lang w:val="uk-UA"/>
        </w:rPr>
        <w:t>нологічна практика. – 2006. – № 2. – С. 57-58.</w:t>
      </w:r>
    </w:p>
    <w:p w:rsidR="0019442B" w:rsidRPr="00E5479E" w:rsidRDefault="0019442B" w:rsidP="00DA0CD3">
      <w:pPr>
        <w:widowControl w:val="0"/>
        <w:numPr>
          <w:ilvl w:val="0"/>
          <w:numId w:val="70"/>
        </w:numPr>
        <w:shd w:val="clear" w:color="auto" w:fill="FFFFFF"/>
        <w:suppressAutoHyphens w:val="0"/>
        <w:spacing w:line="360" w:lineRule="auto"/>
        <w:jc w:val="both"/>
        <w:rPr>
          <w:b/>
          <w:sz w:val="28"/>
        </w:rPr>
      </w:pPr>
      <w:r w:rsidRPr="00E5479E">
        <w:rPr>
          <w:b/>
          <w:sz w:val="28"/>
        </w:rPr>
        <w:t>Яременко А.И. Иммунологическая реактивность у больных с инфекц</w:t>
      </w:r>
      <w:r w:rsidRPr="00E5479E">
        <w:rPr>
          <w:b/>
          <w:sz w:val="28"/>
        </w:rPr>
        <w:t>и</w:t>
      </w:r>
      <w:r w:rsidRPr="00E5479E">
        <w:rPr>
          <w:b/>
          <w:sz w:val="28"/>
        </w:rPr>
        <w:t>онно-воспалительными процессами челюстно-лицевой области и сп</w:t>
      </w:r>
      <w:r w:rsidRPr="00E5479E">
        <w:rPr>
          <w:b/>
          <w:sz w:val="28"/>
        </w:rPr>
        <w:t>о</w:t>
      </w:r>
      <w:r w:rsidRPr="00E5479E">
        <w:rPr>
          <w:b/>
          <w:sz w:val="28"/>
        </w:rPr>
        <w:t xml:space="preserve">собы иммунокоррекции / А.И. Яременко, Т.М. Алёхова // Эндодонтия </w:t>
      </w:r>
      <w:r w:rsidRPr="00E5479E">
        <w:rPr>
          <w:b/>
          <w:sz w:val="28"/>
          <w:lang w:val="en-US"/>
        </w:rPr>
        <w:t>today</w:t>
      </w:r>
      <w:r w:rsidRPr="004C69CB">
        <w:rPr>
          <w:b/>
          <w:sz w:val="28"/>
        </w:rPr>
        <w:t xml:space="preserve">. – </w:t>
      </w:r>
      <w:r w:rsidRPr="00E5479E">
        <w:rPr>
          <w:b/>
          <w:sz w:val="28"/>
        </w:rPr>
        <w:t>2002. – № 3-4. – С. 46-51.</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Brock G.R. Local and systemic antioxidant capacity in periodontitis health / G.R. Brock, J.B. Matthews, C.J. Butterworth, I.L.C. Chapple // Journal of Clinical Periodontology. – 2004. – </w:t>
      </w:r>
      <w:r w:rsidRPr="004C69CB">
        <w:rPr>
          <w:b/>
          <w:sz w:val="28"/>
          <w:lang w:val="en-US"/>
        </w:rPr>
        <w:t xml:space="preserve">№ </w:t>
      </w:r>
      <w:r w:rsidRPr="00E5479E">
        <w:rPr>
          <w:b/>
          <w:sz w:val="28"/>
          <w:lang w:val="en-US"/>
        </w:rPr>
        <w:t>31. – P. 515-521.</w:t>
      </w:r>
    </w:p>
    <w:p w:rsidR="0019442B" w:rsidRPr="00E5479E" w:rsidRDefault="0019442B" w:rsidP="00DA0CD3">
      <w:pPr>
        <w:pStyle w:val="affffffff5"/>
        <w:numPr>
          <w:ilvl w:val="0"/>
          <w:numId w:val="70"/>
        </w:numPr>
        <w:suppressAutoHyphens w:val="0"/>
        <w:spacing w:after="0" w:line="360" w:lineRule="auto"/>
        <w:jc w:val="both"/>
        <w:rPr>
          <w:lang w:val="en-US"/>
        </w:rPr>
      </w:pPr>
      <w:r w:rsidRPr="004C69CB">
        <w:rPr>
          <w:lang w:val="en-US"/>
        </w:rPr>
        <w:t>Caton J.G. Etiology of periodontal diseases / J.G. Caton, C.R. Quinones // Cur</w:t>
      </w:r>
      <w:r w:rsidRPr="00E5479E">
        <w:rPr>
          <w:lang w:val="en-US"/>
        </w:rPr>
        <w:t>rent Opi</w:t>
      </w:r>
      <w:r w:rsidRPr="00E5479E">
        <w:rPr>
          <w:lang w:val="en-US"/>
        </w:rPr>
        <w:t>n</w:t>
      </w:r>
      <w:r w:rsidRPr="00E5479E">
        <w:rPr>
          <w:lang w:val="en-US"/>
        </w:rPr>
        <w:t>ions in Dentistry. – 1991. – Volume 1. – P. 17-28.</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Chapple I.L.C. The role of reactive oxygen and antioxidant species in periodontal tissue destruction / I.L.C. Chapple, J.B. Matthews // Peri</w:t>
      </w:r>
      <w:r w:rsidRPr="00E5479E">
        <w:rPr>
          <w:b/>
          <w:sz w:val="28"/>
          <w:lang w:val="en-US"/>
        </w:rPr>
        <w:t>o</w:t>
      </w:r>
      <w:r w:rsidRPr="00E5479E">
        <w:rPr>
          <w:b/>
          <w:sz w:val="28"/>
          <w:lang w:val="en-US"/>
        </w:rPr>
        <w:t>dontology. – 2000. – № 43. – P. 161-173.</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lastRenderedPageBreak/>
        <w:t>Danesh-Meyer M.J. Progression and prognosis of destructive periodontal disease / M.J. Danesh-Meyer // Journal of Periodontal Society. – 1993. – Volume 75. – P. 11-17.</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Davarpanah M. Periodontal diseases. Clinical forms, epidemiology, etiol</w:t>
      </w:r>
      <w:r w:rsidRPr="00E5479E">
        <w:rPr>
          <w:b/>
          <w:sz w:val="28"/>
          <w:lang w:val="en-US"/>
        </w:rPr>
        <w:t>o</w:t>
      </w:r>
      <w:r w:rsidRPr="00E5479E">
        <w:rPr>
          <w:b/>
          <w:sz w:val="28"/>
          <w:lang w:val="en-US"/>
        </w:rPr>
        <w:t>gy, prevention / M. Davarpanah, J.F. Tecuciani, M. Kebir // Prater R</w:t>
      </w:r>
      <w:r w:rsidRPr="00E5479E">
        <w:rPr>
          <w:b/>
          <w:sz w:val="28"/>
          <w:lang w:val="en-US"/>
        </w:rPr>
        <w:t>e</w:t>
      </w:r>
      <w:r w:rsidRPr="00E5479E">
        <w:rPr>
          <w:b/>
          <w:sz w:val="28"/>
          <w:lang w:val="en-US"/>
        </w:rPr>
        <w:t>views. – 1994. – № 3. – P. 374-378.</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Delayed neutrophil apoptosis in chronic periodontitis patients</w:t>
      </w:r>
      <w:r w:rsidRPr="0019442B">
        <w:rPr>
          <w:b/>
          <w:sz w:val="28"/>
          <w:lang w:val="en-US"/>
        </w:rPr>
        <w:t xml:space="preserve"> </w:t>
      </w:r>
      <w:r w:rsidRPr="00E5479E">
        <w:rPr>
          <w:b/>
          <w:sz w:val="28"/>
          <w:lang w:val="en-US"/>
        </w:rPr>
        <w:t>/ J. Gamonal, M. Sanz, A. O'Connor [et al.] // Journal of Clinical Periodonto</w:t>
      </w:r>
      <w:r w:rsidRPr="00E5479E">
        <w:rPr>
          <w:b/>
          <w:sz w:val="28"/>
          <w:lang w:val="en-US"/>
        </w:rPr>
        <w:t>l</w:t>
      </w:r>
      <w:r w:rsidRPr="00E5479E">
        <w:rPr>
          <w:b/>
          <w:sz w:val="28"/>
          <w:lang w:val="en-US"/>
        </w:rPr>
        <w:t>ogy. – 2003. –</w:t>
      </w:r>
      <w:r w:rsidRPr="00E5479E">
        <w:rPr>
          <w:b/>
          <w:sz w:val="28"/>
          <w:lang w:val="uk-UA"/>
        </w:rPr>
        <w:t xml:space="preserve"> </w:t>
      </w:r>
      <w:r w:rsidRPr="0019442B">
        <w:rPr>
          <w:b/>
          <w:sz w:val="28"/>
          <w:lang w:val="en-US"/>
        </w:rPr>
        <w:t xml:space="preserve">№ </w:t>
      </w:r>
      <w:r w:rsidRPr="00E5479E">
        <w:rPr>
          <w:b/>
          <w:sz w:val="28"/>
          <w:lang w:val="en-US"/>
        </w:rPr>
        <w:t>30. – P. 616-623.</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Drisko C.H. Nonsurgical periodontal therapy / C.H. </w:t>
      </w:r>
      <w:hyperlink r:id="rId10" w:history="1">
        <w:r w:rsidRPr="00E5479E">
          <w:rPr>
            <w:b/>
            <w:sz w:val="28"/>
          </w:rPr>
          <w:t>Drisko</w:t>
        </w:r>
      </w:hyperlink>
      <w:r w:rsidRPr="00E5479E">
        <w:rPr>
          <w:b/>
          <w:sz w:val="28"/>
          <w:lang w:val="en-US"/>
        </w:rPr>
        <w:t xml:space="preserve"> // Periodontol</w:t>
      </w:r>
      <w:r w:rsidRPr="00E5479E">
        <w:rPr>
          <w:b/>
          <w:sz w:val="28"/>
          <w:lang w:val="en-US"/>
        </w:rPr>
        <w:t>o</w:t>
      </w:r>
      <w:r w:rsidRPr="00E5479E">
        <w:rPr>
          <w:b/>
          <w:sz w:val="28"/>
          <w:lang w:val="en-US"/>
        </w:rPr>
        <w:t xml:space="preserve">gy. – 2000. – </w:t>
      </w:r>
      <w:r w:rsidRPr="00E5479E">
        <w:rPr>
          <w:b/>
          <w:sz w:val="28"/>
        </w:rPr>
        <w:t>№ 25</w:t>
      </w:r>
      <w:r w:rsidRPr="00E5479E">
        <w:rPr>
          <w:b/>
          <w:sz w:val="28"/>
          <w:lang w:val="en-US"/>
        </w:rPr>
        <w:t xml:space="preserve">. – P. </w:t>
      </w:r>
      <w:r w:rsidRPr="00E5479E">
        <w:rPr>
          <w:b/>
          <w:sz w:val="28"/>
        </w:rPr>
        <w:t>77-88.</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Fredriksson M</w:t>
      </w:r>
      <w:r w:rsidRPr="0019442B">
        <w:rPr>
          <w:b/>
          <w:sz w:val="28"/>
          <w:lang w:val="en-US"/>
        </w:rPr>
        <w:t>.</w:t>
      </w:r>
      <w:r w:rsidRPr="00E5479E">
        <w:rPr>
          <w:b/>
          <w:sz w:val="28"/>
          <w:lang w:val="en-US"/>
        </w:rPr>
        <w:t>I. Constitutionally hyperreactive neutrophils in peri</w:t>
      </w:r>
      <w:r w:rsidRPr="00E5479E">
        <w:rPr>
          <w:b/>
          <w:sz w:val="28"/>
          <w:lang w:val="en-US"/>
        </w:rPr>
        <w:t>o</w:t>
      </w:r>
      <w:r w:rsidRPr="00E5479E">
        <w:rPr>
          <w:b/>
          <w:sz w:val="28"/>
          <w:lang w:val="en-US"/>
        </w:rPr>
        <w:t>dontitis</w:t>
      </w:r>
      <w:r w:rsidRPr="0019442B">
        <w:rPr>
          <w:b/>
          <w:sz w:val="28"/>
          <w:lang w:val="en-US"/>
        </w:rPr>
        <w:t xml:space="preserve"> / </w:t>
      </w:r>
      <w:r w:rsidRPr="00E5479E">
        <w:rPr>
          <w:b/>
          <w:sz w:val="28"/>
          <w:lang w:val="en-US"/>
        </w:rPr>
        <w:t xml:space="preserve">M.I. Fredriksson, A.K. Gustafsson, K.G. Bergstrom, B. Åsman </w:t>
      </w:r>
      <w:r w:rsidRPr="0019442B">
        <w:rPr>
          <w:b/>
          <w:sz w:val="28"/>
          <w:lang w:val="en-US"/>
        </w:rPr>
        <w:t>//</w:t>
      </w:r>
      <w:r w:rsidRPr="00E5479E">
        <w:rPr>
          <w:b/>
          <w:sz w:val="28"/>
          <w:lang w:val="en-US"/>
        </w:rPr>
        <w:t xml:space="preserve"> Journal of Periodo</w:t>
      </w:r>
      <w:r w:rsidRPr="00E5479E">
        <w:rPr>
          <w:b/>
          <w:sz w:val="28"/>
          <w:lang w:val="en-US"/>
        </w:rPr>
        <w:t>n</w:t>
      </w:r>
      <w:r w:rsidRPr="00E5479E">
        <w:rPr>
          <w:b/>
          <w:sz w:val="28"/>
          <w:lang w:val="en-US"/>
        </w:rPr>
        <w:t xml:space="preserve">tology. – 2003. – </w:t>
      </w:r>
      <w:r w:rsidRPr="0019442B">
        <w:rPr>
          <w:b/>
          <w:sz w:val="28"/>
          <w:lang w:val="en-US"/>
        </w:rPr>
        <w:t xml:space="preserve">№ </w:t>
      </w:r>
      <w:r w:rsidRPr="00E5479E">
        <w:rPr>
          <w:b/>
          <w:sz w:val="28"/>
          <w:lang w:val="en-US"/>
        </w:rPr>
        <w:t>74. – P. 219-224.</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uk-UA"/>
        </w:rPr>
      </w:pPr>
      <w:r w:rsidRPr="00E5479E">
        <w:rPr>
          <w:b/>
          <w:sz w:val="28"/>
          <w:lang w:val="en-US"/>
        </w:rPr>
        <w:t>Galanos C. Preparation and properties of standardized lipopolysaccharide from Salmonella aborutus equi / C. Galanos, O. Lüderitz, O. Westphal // Zentralblatt fur Bakteriologie und Mikrobiologie. Hygienische. Abtteilung. 1. – 1979. – Orig. A, № 243. – P. 226-244</w:t>
      </w:r>
      <w:r w:rsidRPr="00E5479E">
        <w:rPr>
          <w:b/>
          <w:sz w:val="28"/>
        </w:rPr>
        <w:t>.</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Incidence and antimicrobial susceptibility of Porphyromonas gingivalis is</w:t>
      </w:r>
      <w:r w:rsidRPr="00E5479E">
        <w:rPr>
          <w:b/>
          <w:sz w:val="28"/>
          <w:lang w:val="en-US"/>
        </w:rPr>
        <w:t>o</w:t>
      </w:r>
      <w:r w:rsidRPr="00E5479E">
        <w:rPr>
          <w:b/>
          <w:sz w:val="28"/>
          <w:lang w:val="en-US"/>
        </w:rPr>
        <w:t xml:space="preserve">lated from mixed endodontic infections / </w:t>
      </w:r>
      <w:hyperlink r:id="rId11" w:history="1">
        <w:r w:rsidRPr="00E5479E">
          <w:rPr>
            <w:b/>
            <w:sz w:val="28"/>
            <w:lang w:val="en-US"/>
          </w:rPr>
          <w:t>Jacinto R</w:t>
        </w:r>
        <w:r w:rsidRPr="0019442B">
          <w:rPr>
            <w:b/>
            <w:sz w:val="28"/>
            <w:lang w:val="en-US"/>
          </w:rPr>
          <w:t>.</w:t>
        </w:r>
        <w:r w:rsidRPr="00E5479E">
          <w:rPr>
            <w:b/>
            <w:sz w:val="28"/>
            <w:lang w:val="en-US"/>
          </w:rPr>
          <w:t>C</w:t>
        </w:r>
      </w:hyperlink>
      <w:r w:rsidRPr="0019442B">
        <w:rPr>
          <w:b/>
          <w:sz w:val="28"/>
          <w:lang w:val="en-US"/>
        </w:rPr>
        <w:t>.</w:t>
      </w:r>
      <w:r w:rsidRPr="00E5479E">
        <w:rPr>
          <w:b/>
          <w:sz w:val="28"/>
          <w:lang w:val="en-US"/>
        </w:rPr>
        <w:t xml:space="preserve">, </w:t>
      </w:r>
      <w:hyperlink r:id="rId12" w:history="1">
        <w:r w:rsidRPr="00E5479E">
          <w:rPr>
            <w:b/>
            <w:sz w:val="28"/>
            <w:lang w:val="en-US"/>
          </w:rPr>
          <w:t>Gomes B</w:t>
        </w:r>
        <w:r w:rsidRPr="0019442B">
          <w:rPr>
            <w:b/>
            <w:sz w:val="28"/>
            <w:lang w:val="en-US"/>
          </w:rPr>
          <w:t>.</w:t>
        </w:r>
        <w:r w:rsidRPr="00E5479E">
          <w:rPr>
            <w:b/>
            <w:sz w:val="28"/>
            <w:lang w:val="en-US"/>
          </w:rPr>
          <w:t>P</w:t>
        </w:r>
      </w:hyperlink>
      <w:r w:rsidRPr="0019442B">
        <w:rPr>
          <w:b/>
          <w:sz w:val="28"/>
          <w:lang w:val="en-US"/>
        </w:rPr>
        <w:t>.</w:t>
      </w:r>
      <w:r w:rsidRPr="00E5479E">
        <w:rPr>
          <w:b/>
          <w:sz w:val="28"/>
          <w:lang w:val="en-US"/>
        </w:rPr>
        <w:t xml:space="preserve">, </w:t>
      </w:r>
      <w:hyperlink r:id="rId13" w:history="1">
        <w:r w:rsidRPr="00E5479E">
          <w:rPr>
            <w:b/>
            <w:sz w:val="28"/>
            <w:lang w:val="en-US"/>
          </w:rPr>
          <w:t>Shah H</w:t>
        </w:r>
        <w:r w:rsidRPr="0019442B">
          <w:rPr>
            <w:b/>
            <w:sz w:val="28"/>
            <w:lang w:val="en-US"/>
          </w:rPr>
          <w:t>.</w:t>
        </w:r>
        <w:r w:rsidRPr="00E5479E">
          <w:rPr>
            <w:b/>
            <w:sz w:val="28"/>
            <w:lang w:val="en-US"/>
          </w:rPr>
          <w:t>N</w:t>
        </w:r>
      </w:hyperlink>
      <w:r w:rsidRPr="0019442B">
        <w:rPr>
          <w:b/>
          <w:sz w:val="28"/>
          <w:lang w:val="en-US"/>
        </w:rPr>
        <w:t xml:space="preserve">. </w:t>
      </w:r>
      <w:r w:rsidRPr="00E5479E">
        <w:rPr>
          <w:b/>
          <w:sz w:val="28"/>
          <w:lang w:val="en-US"/>
        </w:rPr>
        <w:t>[</w:t>
      </w:r>
      <w:proofErr w:type="gramStart"/>
      <w:r w:rsidRPr="00E5479E">
        <w:rPr>
          <w:b/>
          <w:sz w:val="28"/>
          <w:lang w:val="en-US"/>
        </w:rPr>
        <w:t>et</w:t>
      </w:r>
      <w:proofErr w:type="gramEnd"/>
      <w:r w:rsidRPr="00E5479E">
        <w:rPr>
          <w:b/>
          <w:sz w:val="28"/>
          <w:lang w:val="en-US"/>
        </w:rPr>
        <w:t xml:space="preserve"> al.] // </w:t>
      </w:r>
      <w:hyperlink r:id="rId14" w:history="1">
        <w:r w:rsidRPr="00E5479E">
          <w:rPr>
            <w:b/>
            <w:sz w:val="28"/>
            <w:lang w:val="en-US"/>
          </w:rPr>
          <w:t>International Endodontic Journal.</w:t>
        </w:r>
      </w:hyperlink>
      <w:r w:rsidRPr="00E5479E">
        <w:rPr>
          <w:b/>
          <w:sz w:val="28"/>
          <w:lang w:val="en-US"/>
        </w:rPr>
        <w:t xml:space="preserve"> – 2006. – </w:t>
      </w:r>
      <w:r w:rsidRPr="00E5479E">
        <w:rPr>
          <w:b/>
          <w:sz w:val="28"/>
        </w:rPr>
        <w:t xml:space="preserve">№ </w:t>
      </w:r>
      <w:r w:rsidRPr="00E5479E">
        <w:rPr>
          <w:b/>
          <w:sz w:val="28"/>
          <w:lang w:val="en-US"/>
        </w:rPr>
        <w:t>1</w:t>
      </w:r>
      <w:r w:rsidRPr="00E5479E">
        <w:rPr>
          <w:b/>
          <w:sz w:val="28"/>
        </w:rPr>
        <w:t xml:space="preserve">. – Р. </w:t>
      </w:r>
      <w:r w:rsidRPr="00E5479E">
        <w:rPr>
          <w:b/>
          <w:sz w:val="28"/>
          <w:lang w:val="en-US"/>
        </w:rPr>
        <w:t xml:space="preserve">62-70. </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Kimura S. Increased oxidative product formation by peripheral blood pol</w:t>
      </w:r>
      <w:r w:rsidRPr="00E5479E">
        <w:rPr>
          <w:b/>
          <w:sz w:val="28"/>
          <w:lang w:val="en-US"/>
        </w:rPr>
        <w:t>y</w:t>
      </w:r>
      <w:r w:rsidRPr="00E5479E">
        <w:rPr>
          <w:b/>
          <w:sz w:val="28"/>
          <w:lang w:val="en-US"/>
        </w:rPr>
        <w:t xml:space="preserve">morphonuclear leukocytes in human periodontal disease / S. Kimura, T. Yonemura, H. Kaya // Journal of Periodontal Research. – 1993. – </w:t>
      </w:r>
      <w:r w:rsidRPr="0019442B">
        <w:rPr>
          <w:b/>
          <w:sz w:val="28"/>
          <w:lang w:val="en-US"/>
        </w:rPr>
        <w:t xml:space="preserve">№ </w:t>
      </w:r>
      <w:r w:rsidRPr="00E5479E">
        <w:rPr>
          <w:b/>
          <w:sz w:val="28"/>
          <w:lang w:val="en-US"/>
        </w:rPr>
        <w:t>28. – P. 197-203</w:t>
      </w:r>
      <w:r w:rsidRPr="0019442B">
        <w:rPr>
          <w:b/>
          <w:sz w:val="28"/>
          <w:lang w:val="en-US"/>
        </w:rPr>
        <w:t>.</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Kinane D.F. Local antimicrobial therapies in periodontal disease / D.F. Kinane // Annals of Royal Australasian College of Dental Surgeons. – 2000. – № 15. – P. 57-60.</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Lamster I.B. Host mediators in gingival crevicular fluid: implications for the pathogenesis of periodontal diseases / I.B. Lamster, M.J. Novak // </w:t>
      </w:r>
      <w:r w:rsidRPr="00E5479E">
        <w:rPr>
          <w:b/>
          <w:sz w:val="28"/>
          <w:lang w:val="en-US"/>
        </w:rPr>
        <w:lastRenderedPageBreak/>
        <w:t>Critical Reviews in Oral Biology and Medicine. – 2002. – Volume 3. – P. 31-60.</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Lamster I.B. Periodontal disease progression / I.B. Lamster, S.D. Kar</w:t>
      </w:r>
      <w:r w:rsidRPr="00E5479E">
        <w:rPr>
          <w:b/>
          <w:sz w:val="28"/>
          <w:lang w:val="en-US"/>
        </w:rPr>
        <w:t>a</w:t>
      </w:r>
      <w:r w:rsidRPr="00E5479E">
        <w:rPr>
          <w:b/>
          <w:sz w:val="28"/>
          <w:lang w:val="en-US"/>
        </w:rPr>
        <w:t xml:space="preserve">bin // Current Opinions in Dentistry. – </w:t>
      </w:r>
      <w:r w:rsidRPr="00E5479E">
        <w:rPr>
          <w:b/>
          <w:sz w:val="28"/>
          <w:lang w:val="uk-UA"/>
        </w:rPr>
        <w:t>200</w:t>
      </w:r>
      <w:r w:rsidRPr="00E5479E">
        <w:rPr>
          <w:b/>
          <w:sz w:val="28"/>
          <w:lang w:val="en-US"/>
        </w:rPr>
        <w:t>2. – Volume 2. – P. 39-52.</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Leone C.W. Host responses in etiology and pathogenesis of periodontal di</w:t>
      </w:r>
      <w:r w:rsidRPr="00E5479E">
        <w:rPr>
          <w:b/>
          <w:sz w:val="28"/>
          <w:lang w:val="en-US"/>
        </w:rPr>
        <w:t>s</w:t>
      </w:r>
      <w:r w:rsidRPr="00E5479E">
        <w:rPr>
          <w:b/>
          <w:sz w:val="28"/>
          <w:lang w:val="en-US"/>
        </w:rPr>
        <w:t>ease / C.W. Leone, W.B. Clark, W.P. McArthur // Current Opinions in De</w:t>
      </w:r>
      <w:r w:rsidRPr="00E5479E">
        <w:rPr>
          <w:b/>
          <w:sz w:val="28"/>
          <w:lang w:val="en-US"/>
        </w:rPr>
        <w:t>n</w:t>
      </w:r>
      <w:r w:rsidRPr="00E5479E">
        <w:rPr>
          <w:b/>
          <w:sz w:val="28"/>
          <w:lang w:val="en-US"/>
        </w:rPr>
        <w:t>tistry. – 1991. – Volume 1. – P. 29-36.</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Loë H. The role of bacteria in periodontal diseases / H. Loë // Bulletin of WHO. – 1981. – № 26. – P. 821-825. </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Mancini G. Immunochemical quantitation of antigens by simple radial i</w:t>
      </w:r>
      <w:r w:rsidRPr="00E5479E">
        <w:rPr>
          <w:b/>
          <w:sz w:val="28"/>
          <w:lang w:val="en-US"/>
        </w:rPr>
        <w:t>m</w:t>
      </w:r>
      <w:r w:rsidRPr="00E5479E">
        <w:rPr>
          <w:b/>
          <w:sz w:val="28"/>
          <w:lang w:val="en-US"/>
        </w:rPr>
        <w:t>munodiffusion method / G. Mancini, A.</w:t>
      </w:r>
      <w:r w:rsidRPr="00E5479E">
        <w:rPr>
          <w:b/>
          <w:sz w:val="28"/>
        </w:rPr>
        <w:t>О</w:t>
      </w:r>
      <w:r w:rsidRPr="00E5479E">
        <w:rPr>
          <w:b/>
          <w:sz w:val="28"/>
          <w:lang w:val="en-US"/>
        </w:rPr>
        <w:t>. Carbonara, S.F. Heremans // Immun</w:t>
      </w:r>
      <w:r w:rsidRPr="00E5479E">
        <w:rPr>
          <w:b/>
          <w:sz w:val="28"/>
          <w:lang w:val="en-US"/>
        </w:rPr>
        <w:t>o</w:t>
      </w:r>
      <w:r w:rsidRPr="00E5479E">
        <w:rPr>
          <w:b/>
          <w:sz w:val="28"/>
          <w:lang w:val="en-US"/>
        </w:rPr>
        <w:t xml:space="preserve">chemistry. – 1965. – </w:t>
      </w:r>
      <w:r w:rsidRPr="0019442B">
        <w:rPr>
          <w:b/>
          <w:sz w:val="28"/>
          <w:lang w:val="en-US"/>
        </w:rPr>
        <w:t xml:space="preserve">№ </w:t>
      </w:r>
      <w:r w:rsidRPr="00E5479E">
        <w:rPr>
          <w:b/>
          <w:sz w:val="28"/>
          <w:lang w:val="en-US"/>
        </w:rPr>
        <w:t>6. – P. 234-235.</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Matthews J.B. Hyperactivity and reactivity of peripheral blood neutrophils in chronic periodontitis / J.B. Matthews, H.J. Wright, A. Roberts [et al.] // Clinical and Experimental Immunology. – 2007. – </w:t>
      </w:r>
      <w:r w:rsidRPr="0019442B">
        <w:rPr>
          <w:b/>
          <w:sz w:val="28"/>
          <w:lang w:val="en-US"/>
        </w:rPr>
        <w:t xml:space="preserve">№ </w:t>
      </w:r>
      <w:r w:rsidRPr="00E5479E">
        <w:rPr>
          <w:b/>
          <w:sz w:val="28"/>
          <w:lang w:val="en-US"/>
        </w:rPr>
        <w:t>2</w:t>
      </w:r>
      <w:r w:rsidRPr="0019442B">
        <w:rPr>
          <w:b/>
          <w:sz w:val="28"/>
          <w:lang w:val="en-US"/>
        </w:rPr>
        <w:t xml:space="preserve">. – </w:t>
      </w:r>
      <w:proofErr w:type="gramStart"/>
      <w:r w:rsidRPr="00E5479E">
        <w:rPr>
          <w:b/>
          <w:sz w:val="28"/>
        </w:rPr>
        <w:t>Р</w:t>
      </w:r>
      <w:r w:rsidRPr="0019442B">
        <w:rPr>
          <w:b/>
          <w:sz w:val="28"/>
          <w:lang w:val="en-US"/>
        </w:rPr>
        <w:t>.</w:t>
      </w:r>
      <w:r w:rsidRPr="00E5479E">
        <w:rPr>
          <w:b/>
          <w:sz w:val="28"/>
          <w:lang w:val="en-US"/>
        </w:rPr>
        <w:t xml:space="preserve"> 255</w:t>
      </w:r>
      <w:proofErr w:type="gramEnd"/>
      <w:r w:rsidRPr="0019442B">
        <w:rPr>
          <w:b/>
          <w:sz w:val="28"/>
          <w:lang w:val="en-US"/>
        </w:rPr>
        <w:t>-</w:t>
      </w:r>
      <w:r w:rsidRPr="00E5479E">
        <w:rPr>
          <w:b/>
          <w:sz w:val="28"/>
          <w:lang w:val="en-US"/>
        </w:rPr>
        <w:t>264.</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Microbiological analysis of infected root canals from symptomatic and asymptomatic teeth with periapical periodontitis and the antimicrobial su</w:t>
      </w:r>
      <w:r w:rsidRPr="00E5479E">
        <w:rPr>
          <w:b/>
          <w:sz w:val="28"/>
          <w:lang w:val="en-US"/>
        </w:rPr>
        <w:t>s</w:t>
      </w:r>
      <w:r w:rsidRPr="00E5479E">
        <w:rPr>
          <w:b/>
          <w:sz w:val="28"/>
          <w:lang w:val="en-US"/>
        </w:rPr>
        <w:t>ceptibility of some isolated anaerobic bacteria</w:t>
      </w:r>
      <w:r w:rsidRPr="0019442B">
        <w:rPr>
          <w:b/>
          <w:sz w:val="28"/>
          <w:lang w:val="en-US"/>
        </w:rPr>
        <w:t xml:space="preserve"> // </w:t>
      </w:r>
      <w:r w:rsidRPr="00E5479E">
        <w:rPr>
          <w:b/>
          <w:sz w:val="28"/>
          <w:lang w:val="en-US"/>
        </w:rPr>
        <w:t>Jacinto R</w:t>
      </w:r>
      <w:r w:rsidRPr="0019442B">
        <w:rPr>
          <w:b/>
          <w:sz w:val="28"/>
          <w:lang w:val="en-US"/>
        </w:rPr>
        <w:t>.</w:t>
      </w:r>
      <w:r w:rsidRPr="00E5479E">
        <w:rPr>
          <w:b/>
          <w:sz w:val="28"/>
          <w:lang w:val="en-US"/>
        </w:rPr>
        <w:t>C</w:t>
      </w:r>
      <w:r w:rsidRPr="0019442B">
        <w:rPr>
          <w:b/>
          <w:sz w:val="28"/>
          <w:lang w:val="en-US"/>
        </w:rPr>
        <w:t>.</w:t>
      </w:r>
      <w:r w:rsidRPr="00E5479E">
        <w:rPr>
          <w:b/>
          <w:sz w:val="28"/>
          <w:lang w:val="en-US"/>
        </w:rPr>
        <w:t>, Gomes B</w:t>
      </w:r>
      <w:r w:rsidRPr="0019442B">
        <w:rPr>
          <w:b/>
          <w:sz w:val="28"/>
          <w:lang w:val="en-US"/>
        </w:rPr>
        <w:t>.</w:t>
      </w:r>
      <w:r w:rsidRPr="00E5479E">
        <w:rPr>
          <w:b/>
          <w:sz w:val="28"/>
          <w:lang w:val="en-US"/>
        </w:rPr>
        <w:t>P</w:t>
      </w:r>
      <w:r w:rsidRPr="0019442B">
        <w:rPr>
          <w:b/>
          <w:sz w:val="28"/>
          <w:lang w:val="en-US"/>
        </w:rPr>
        <w:t>.</w:t>
      </w:r>
      <w:r w:rsidRPr="00E5479E">
        <w:rPr>
          <w:b/>
          <w:sz w:val="28"/>
          <w:lang w:val="en-US"/>
        </w:rPr>
        <w:t>, Fe</w:t>
      </w:r>
      <w:r w:rsidRPr="00E5479E">
        <w:rPr>
          <w:b/>
          <w:sz w:val="28"/>
          <w:lang w:val="en-US"/>
        </w:rPr>
        <w:t>r</w:t>
      </w:r>
      <w:r w:rsidRPr="00E5479E">
        <w:rPr>
          <w:b/>
          <w:sz w:val="28"/>
          <w:lang w:val="en-US"/>
        </w:rPr>
        <w:t>raz C</w:t>
      </w:r>
      <w:r w:rsidRPr="0019442B">
        <w:rPr>
          <w:b/>
          <w:sz w:val="28"/>
          <w:lang w:val="en-US"/>
        </w:rPr>
        <w:t>.</w:t>
      </w:r>
      <w:r w:rsidRPr="00E5479E">
        <w:rPr>
          <w:b/>
          <w:sz w:val="28"/>
          <w:lang w:val="en-US"/>
        </w:rPr>
        <w:t>C</w:t>
      </w:r>
      <w:r w:rsidRPr="0019442B">
        <w:rPr>
          <w:b/>
          <w:sz w:val="28"/>
          <w:lang w:val="en-US"/>
        </w:rPr>
        <w:t xml:space="preserve">. </w:t>
      </w:r>
      <w:r w:rsidRPr="00E5479E">
        <w:rPr>
          <w:b/>
          <w:sz w:val="28"/>
          <w:lang w:val="en-US"/>
        </w:rPr>
        <w:t>[et al.]</w:t>
      </w:r>
      <w:r w:rsidRPr="0019442B">
        <w:rPr>
          <w:b/>
          <w:sz w:val="28"/>
          <w:lang w:val="en-US"/>
        </w:rPr>
        <w:t xml:space="preserve"> //</w:t>
      </w:r>
      <w:r w:rsidRPr="00E5479E">
        <w:rPr>
          <w:b/>
          <w:sz w:val="28"/>
          <w:lang w:val="en-US"/>
        </w:rPr>
        <w:t xml:space="preserve"> Oral Microbiology and Immunology. – 2003. – </w:t>
      </w:r>
      <w:r w:rsidRPr="0019442B">
        <w:rPr>
          <w:b/>
          <w:sz w:val="28"/>
          <w:lang w:val="en-US"/>
        </w:rPr>
        <w:t xml:space="preserve">№ </w:t>
      </w:r>
      <w:r w:rsidRPr="00E5479E">
        <w:rPr>
          <w:b/>
          <w:sz w:val="28"/>
          <w:lang w:val="en-US"/>
        </w:rPr>
        <w:t>5. – P. 285-292.</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Microbiological examination of infected dental root canals / Gomes B.P., Pinheiro E.T., Gadê-Neto C.R. [et al.] // Oral Microbiology and Immunol</w:t>
      </w:r>
      <w:r w:rsidRPr="00E5479E">
        <w:rPr>
          <w:b/>
          <w:sz w:val="28"/>
          <w:lang w:val="en-US"/>
        </w:rPr>
        <w:t>o</w:t>
      </w:r>
      <w:r w:rsidRPr="00E5479E">
        <w:rPr>
          <w:b/>
          <w:sz w:val="28"/>
          <w:lang w:val="en-US"/>
        </w:rPr>
        <w:t xml:space="preserve">gy. – 2004. – </w:t>
      </w:r>
      <w:r w:rsidRPr="0019442B">
        <w:rPr>
          <w:b/>
          <w:sz w:val="28"/>
          <w:lang w:val="en-US"/>
        </w:rPr>
        <w:t xml:space="preserve">№ </w:t>
      </w:r>
      <w:r w:rsidRPr="00E5479E">
        <w:rPr>
          <w:b/>
          <w:sz w:val="28"/>
          <w:lang w:val="en-US"/>
        </w:rPr>
        <w:t>2. – P. 71-76.</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Microorganisms from canals of root-filled teeth with periapical lesions / Pinheiro E.T., </w:t>
      </w:r>
      <w:hyperlink r:id="rId15" w:history="1">
        <w:r w:rsidRPr="00E5479E">
          <w:rPr>
            <w:b/>
            <w:sz w:val="28"/>
            <w:lang w:val="en-US"/>
          </w:rPr>
          <w:t>Gomes B.P</w:t>
        </w:r>
      </w:hyperlink>
      <w:r w:rsidRPr="00E5479E">
        <w:rPr>
          <w:b/>
          <w:sz w:val="28"/>
          <w:lang w:val="en-US"/>
        </w:rPr>
        <w:t xml:space="preserve">., </w:t>
      </w:r>
      <w:hyperlink r:id="rId16" w:history="1">
        <w:r w:rsidRPr="00E5479E">
          <w:rPr>
            <w:b/>
            <w:sz w:val="28"/>
            <w:lang w:val="en-US"/>
          </w:rPr>
          <w:t>Ferraz C.C</w:t>
        </w:r>
      </w:hyperlink>
      <w:r w:rsidRPr="00E5479E">
        <w:rPr>
          <w:b/>
          <w:sz w:val="28"/>
          <w:lang w:val="en-US"/>
        </w:rPr>
        <w:t>. [</w:t>
      </w:r>
      <w:proofErr w:type="gramStart"/>
      <w:r w:rsidRPr="00E5479E">
        <w:rPr>
          <w:b/>
          <w:sz w:val="28"/>
          <w:lang w:val="en-US"/>
        </w:rPr>
        <w:t>et</w:t>
      </w:r>
      <w:proofErr w:type="gramEnd"/>
      <w:r w:rsidRPr="00E5479E">
        <w:rPr>
          <w:b/>
          <w:sz w:val="28"/>
          <w:lang w:val="en-US"/>
        </w:rPr>
        <w:t xml:space="preserve"> al.] // International Endodontic Journal. – 2003. – № 1. – P. 1-11.</w:t>
      </w:r>
    </w:p>
    <w:p w:rsidR="0019442B" w:rsidRPr="00E5479E" w:rsidRDefault="0019442B" w:rsidP="00DA0CD3">
      <w:pPr>
        <w:numPr>
          <w:ilvl w:val="0"/>
          <w:numId w:val="70"/>
        </w:numPr>
        <w:suppressAutoHyphens w:val="0"/>
        <w:spacing w:line="360" w:lineRule="auto"/>
        <w:jc w:val="both"/>
        <w:rPr>
          <w:sz w:val="28"/>
          <w:szCs w:val="28"/>
          <w:lang w:val="en-US"/>
        </w:rPr>
      </w:pPr>
      <w:r w:rsidRPr="00E5479E">
        <w:rPr>
          <w:sz w:val="28"/>
          <w:szCs w:val="28"/>
          <w:lang w:val="en-US"/>
        </w:rPr>
        <w:t>Nerwich A. pH changes in root dentin over a 4-week period following root canal dressing with calcium hydroxide / A. Nerwich, D. Figdor, H.H. Me</w:t>
      </w:r>
      <w:r w:rsidRPr="00E5479E">
        <w:rPr>
          <w:sz w:val="28"/>
          <w:szCs w:val="28"/>
          <w:lang w:val="en-US"/>
        </w:rPr>
        <w:t>s</w:t>
      </w:r>
      <w:r w:rsidRPr="00E5479E">
        <w:rPr>
          <w:sz w:val="28"/>
          <w:szCs w:val="28"/>
          <w:lang w:val="en-US"/>
        </w:rPr>
        <w:t>ser // Journal of Endodontology. – 1993. – Volume 19. – P. 302-305.</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Nilsson M. Gingivitis and periodontitis are related to repeated high le</w:t>
      </w:r>
      <w:r w:rsidRPr="00E5479E">
        <w:rPr>
          <w:b/>
          <w:sz w:val="28"/>
          <w:lang w:val="en-US"/>
        </w:rPr>
        <w:t>v</w:t>
      </w:r>
      <w:r w:rsidRPr="00E5479E">
        <w:rPr>
          <w:b/>
          <w:sz w:val="28"/>
          <w:lang w:val="en-US"/>
        </w:rPr>
        <w:t>els of circulating tumor necrosis factor-alpha in patients with rheum</w:t>
      </w:r>
      <w:r w:rsidRPr="00E5479E">
        <w:rPr>
          <w:b/>
          <w:sz w:val="28"/>
          <w:lang w:val="en-US"/>
        </w:rPr>
        <w:t>a</w:t>
      </w:r>
      <w:r w:rsidRPr="00E5479E">
        <w:rPr>
          <w:b/>
          <w:sz w:val="28"/>
          <w:lang w:val="en-US"/>
        </w:rPr>
        <w:t xml:space="preserve">toid </w:t>
      </w:r>
      <w:r w:rsidRPr="00E5479E">
        <w:rPr>
          <w:b/>
          <w:sz w:val="28"/>
          <w:lang w:val="en-US"/>
        </w:rPr>
        <w:lastRenderedPageBreak/>
        <w:t>arthritis / M. Nilsson, S. Kopp // Journal of Periodontology. – 2008. – № 9. – P. 1689-1696.</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Offenbacher S. Rethinking periodontal inflammation / S. </w:t>
      </w:r>
      <w:hyperlink r:id="rId17" w:history="1">
        <w:r w:rsidRPr="00E5479E">
          <w:rPr>
            <w:b/>
            <w:sz w:val="28"/>
            <w:lang w:val="en-US"/>
          </w:rPr>
          <w:t>Offenbacher</w:t>
        </w:r>
      </w:hyperlink>
      <w:r w:rsidRPr="00E5479E">
        <w:rPr>
          <w:b/>
          <w:sz w:val="28"/>
          <w:lang w:val="en-US"/>
        </w:rPr>
        <w:t>, S.P. Barros, J.D. Beck // Journal of Periodontology. – 2008. – № 79 (8 Suppl</w:t>
      </w:r>
      <w:r w:rsidRPr="00E5479E">
        <w:rPr>
          <w:b/>
          <w:sz w:val="28"/>
          <w:lang w:val="en-US"/>
        </w:rPr>
        <w:t>e</w:t>
      </w:r>
      <w:r w:rsidRPr="00E5479E">
        <w:rPr>
          <w:b/>
          <w:sz w:val="28"/>
          <w:lang w:val="en-US"/>
        </w:rPr>
        <w:t>ment). – P. 1577-1584.</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Page R.C. The pathogenesis of human periodontitis: an introduction</w:t>
      </w:r>
      <w:r w:rsidRPr="0019442B">
        <w:rPr>
          <w:b/>
          <w:sz w:val="28"/>
          <w:lang w:val="en-US"/>
        </w:rPr>
        <w:t xml:space="preserve"> </w:t>
      </w:r>
      <w:r w:rsidRPr="00E5479E">
        <w:rPr>
          <w:b/>
          <w:sz w:val="28"/>
          <w:lang w:val="en-US"/>
        </w:rPr>
        <w:t xml:space="preserve">/ R.C. Page, K. Kornman // Periodontology. – 2000. – </w:t>
      </w:r>
      <w:r w:rsidRPr="0019442B">
        <w:rPr>
          <w:b/>
          <w:sz w:val="28"/>
          <w:lang w:val="en-US"/>
        </w:rPr>
        <w:t xml:space="preserve">№ </w:t>
      </w:r>
      <w:r w:rsidRPr="00E5479E">
        <w:rPr>
          <w:b/>
          <w:sz w:val="28"/>
          <w:lang w:val="en-US"/>
        </w:rPr>
        <w:t>14. – P. 9-11.</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Page R.C. The role of inflammatory mediators in the pathogenesis of peri</w:t>
      </w:r>
      <w:r w:rsidRPr="00E5479E">
        <w:rPr>
          <w:b/>
          <w:sz w:val="28"/>
          <w:lang w:val="en-US"/>
        </w:rPr>
        <w:t>o</w:t>
      </w:r>
      <w:r w:rsidRPr="00E5479E">
        <w:rPr>
          <w:b/>
          <w:sz w:val="28"/>
          <w:lang w:val="en-US"/>
        </w:rPr>
        <w:t xml:space="preserve">dontal diseases / R.C. Page // Journal of Periodontal Research. – </w:t>
      </w:r>
      <w:r w:rsidRPr="00E5479E">
        <w:rPr>
          <w:b/>
          <w:sz w:val="28"/>
          <w:lang w:val="uk-UA"/>
        </w:rPr>
        <w:t>200</w:t>
      </w:r>
      <w:r w:rsidRPr="00E5479E">
        <w:rPr>
          <w:b/>
          <w:sz w:val="28"/>
          <w:lang w:val="en-US"/>
        </w:rPr>
        <w:t>1. – Volume 26. – P. 230-242.</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Panjamurthy K. Lipid peroxidatin and antioxidant status in patients with pe</w:t>
      </w:r>
      <w:r w:rsidRPr="00E5479E">
        <w:rPr>
          <w:b/>
          <w:sz w:val="28"/>
          <w:lang w:val="en-US"/>
        </w:rPr>
        <w:t>r</w:t>
      </w:r>
      <w:r w:rsidRPr="00E5479E">
        <w:rPr>
          <w:b/>
          <w:sz w:val="28"/>
          <w:lang w:val="en-US"/>
        </w:rPr>
        <w:t xml:space="preserve">iodontitis / K. Panjamurthy, S. Manoharan, C.R. Ramachandran // Cellular and Molecular Biology Letters. – 2005. – </w:t>
      </w:r>
      <w:r w:rsidRPr="0019442B">
        <w:rPr>
          <w:b/>
          <w:sz w:val="28"/>
          <w:lang w:val="en-US"/>
        </w:rPr>
        <w:t xml:space="preserve">№ </w:t>
      </w:r>
      <w:r w:rsidRPr="00E5479E">
        <w:rPr>
          <w:b/>
          <w:sz w:val="28"/>
          <w:lang w:val="en-US"/>
        </w:rPr>
        <w:t>10. – P. 255-264.</w:t>
      </w:r>
    </w:p>
    <w:p w:rsidR="0019442B" w:rsidRPr="00E5479E" w:rsidRDefault="0019442B" w:rsidP="00DA0CD3">
      <w:pPr>
        <w:numPr>
          <w:ilvl w:val="0"/>
          <w:numId w:val="70"/>
        </w:numPr>
        <w:suppressAutoHyphens w:val="0"/>
        <w:spacing w:line="360" w:lineRule="auto"/>
        <w:jc w:val="both"/>
        <w:rPr>
          <w:sz w:val="28"/>
          <w:lang w:val="en-US"/>
        </w:rPr>
      </w:pPr>
      <w:r w:rsidRPr="00E5479E">
        <w:rPr>
          <w:sz w:val="28"/>
          <w:lang w:val="en-CA"/>
        </w:rPr>
        <w:t xml:space="preserve">Peterson P.K. The key role of peptidoglycan in the opsonization of </w:t>
      </w:r>
      <w:r w:rsidRPr="00E5479E">
        <w:rPr>
          <w:i/>
          <w:sz w:val="28"/>
          <w:lang w:val="en-CA"/>
        </w:rPr>
        <w:t>Staph</w:t>
      </w:r>
      <w:r w:rsidRPr="00E5479E">
        <w:rPr>
          <w:i/>
          <w:sz w:val="28"/>
          <w:lang w:val="en-CA"/>
        </w:rPr>
        <w:t>y</w:t>
      </w:r>
      <w:r w:rsidRPr="00E5479E">
        <w:rPr>
          <w:i/>
          <w:sz w:val="28"/>
          <w:lang w:val="en-CA"/>
        </w:rPr>
        <w:t>lococcus aureus</w:t>
      </w:r>
      <w:r w:rsidRPr="00E5479E">
        <w:rPr>
          <w:sz w:val="28"/>
          <w:lang w:val="en-CA"/>
        </w:rPr>
        <w:t xml:space="preserve"> </w:t>
      </w:r>
      <w:r w:rsidRPr="0019442B">
        <w:rPr>
          <w:sz w:val="28"/>
          <w:lang w:val="en-US"/>
        </w:rPr>
        <w:t>/</w:t>
      </w:r>
      <w:r w:rsidRPr="00E5479E">
        <w:rPr>
          <w:sz w:val="28"/>
          <w:lang w:val="en-CA"/>
        </w:rPr>
        <w:t xml:space="preserve"> P.K.</w:t>
      </w:r>
      <w:r w:rsidRPr="0019442B">
        <w:rPr>
          <w:sz w:val="28"/>
          <w:lang w:val="en-US"/>
        </w:rPr>
        <w:t xml:space="preserve"> </w:t>
      </w:r>
      <w:r w:rsidRPr="00E5479E">
        <w:rPr>
          <w:sz w:val="28"/>
          <w:lang w:val="en-CA"/>
        </w:rPr>
        <w:t xml:space="preserve">Peterson, </w:t>
      </w:r>
      <w:r w:rsidRPr="00E5479E">
        <w:rPr>
          <w:sz w:val="28"/>
          <w:lang w:val="en-US"/>
        </w:rPr>
        <w:t xml:space="preserve">B.J. </w:t>
      </w:r>
      <w:r w:rsidRPr="00E5479E">
        <w:rPr>
          <w:sz w:val="28"/>
          <w:lang w:val="en-CA"/>
        </w:rPr>
        <w:t xml:space="preserve">Wilkinson, Y. Kim // </w:t>
      </w:r>
      <w:r w:rsidRPr="00E5479E">
        <w:rPr>
          <w:rStyle w:val="afff0"/>
          <w:i w:val="0"/>
          <w:sz w:val="28"/>
          <w:lang w:val="en-CA"/>
        </w:rPr>
        <w:t>Journal of Clin</w:t>
      </w:r>
      <w:r w:rsidRPr="00E5479E">
        <w:rPr>
          <w:rStyle w:val="afff0"/>
          <w:i w:val="0"/>
          <w:sz w:val="28"/>
          <w:lang w:val="en-CA"/>
        </w:rPr>
        <w:t>i</w:t>
      </w:r>
      <w:r w:rsidRPr="00E5479E">
        <w:rPr>
          <w:rStyle w:val="afff0"/>
          <w:i w:val="0"/>
          <w:sz w:val="28"/>
          <w:lang w:val="en-CA"/>
        </w:rPr>
        <w:t>cal Investigations. –</w:t>
      </w:r>
      <w:r w:rsidRPr="00E5479E">
        <w:rPr>
          <w:sz w:val="28"/>
          <w:lang w:val="en-CA"/>
        </w:rPr>
        <w:t xml:space="preserve"> 1978. – № 3. – P. 597-609.</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Pihlstrom B.L. Periodontal disease</w:t>
      </w:r>
      <w:r w:rsidRPr="0019442B">
        <w:rPr>
          <w:b/>
          <w:sz w:val="28"/>
          <w:lang w:val="en-US"/>
        </w:rPr>
        <w:t xml:space="preserve"> </w:t>
      </w:r>
      <w:r w:rsidRPr="00E5479E">
        <w:rPr>
          <w:b/>
          <w:sz w:val="28"/>
          <w:lang w:val="en-US"/>
        </w:rPr>
        <w:t xml:space="preserve">/ B.L. Pihlstrom, B.S. Michalowicz, N.W. Johnson // Lancet. – 2005. – </w:t>
      </w:r>
      <w:r w:rsidRPr="0019442B">
        <w:rPr>
          <w:b/>
          <w:sz w:val="28"/>
          <w:lang w:val="en-US"/>
        </w:rPr>
        <w:t xml:space="preserve">№ </w:t>
      </w:r>
      <w:r w:rsidRPr="00E5479E">
        <w:rPr>
          <w:b/>
          <w:sz w:val="28"/>
          <w:lang w:val="en-US"/>
        </w:rPr>
        <w:t>366</w:t>
      </w:r>
      <w:r w:rsidRPr="0019442B">
        <w:rPr>
          <w:b/>
          <w:sz w:val="28"/>
          <w:lang w:val="en-US"/>
        </w:rPr>
        <w:t xml:space="preserve">. – </w:t>
      </w:r>
      <w:proofErr w:type="gramStart"/>
      <w:r w:rsidRPr="00E5479E">
        <w:rPr>
          <w:b/>
          <w:sz w:val="28"/>
        </w:rPr>
        <w:t>Р</w:t>
      </w:r>
      <w:r w:rsidRPr="0019442B">
        <w:rPr>
          <w:b/>
          <w:sz w:val="28"/>
          <w:lang w:val="en-US"/>
        </w:rPr>
        <w:t xml:space="preserve">. </w:t>
      </w:r>
      <w:r w:rsidRPr="00E5479E">
        <w:rPr>
          <w:b/>
          <w:sz w:val="28"/>
          <w:lang w:val="en-US"/>
        </w:rPr>
        <w:t>1809</w:t>
      </w:r>
      <w:proofErr w:type="gramEnd"/>
      <w:r w:rsidRPr="0019442B">
        <w:rPr>
          <w:b/>
          <w:sz w:val="28"/>
          <w:lang w:val="en-US"/>
        </w:rPr>
        <w:t>-18</w:t>
      </w:r>
      <w:r w:rsidRPr="00E5479E">
        <w:rPr>
          <w:b/>
          <w:sz w:val="28"/>
          <w:lang w:val="en-US"/>
        </w:rPr>
        <w:t>20</w:t>
      </w:r>
      <w:r w:rsidRPr="0019442B">
        <w:rPr>
          <w:b/>
          <w:sz w:val="28"/>
          <w:lang w:val="en-US"/>
        </w:rPr>
        <w:t>.</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Priestland C.R. Diagnosis, progression, prognostic indication and classific</w:t>
      </w:r>
      <w:r w:rsidRPr="00E5479E">
        <w:rPr>
          <w:b/>
          <w:sz w:val="28"/>
          <w:lang w:val="en-US"/>
        </w:rPr>
        <w:t>a</w:t>
      </w:r>
      <w:r w:rsidRPr="00E5479E">
        <w:rPr>
          <w:b/>
          <w:sz w:val="28"/>
          <w:lang w:val="en-US"/>
        </w:rPr>
        <w:t>tion of periodontal diseases: a review / C.R. Priestland // Journal of Navy Medical Service. – 1994. – № 1. – P. 10-16.</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uk-UA"/>
        </w:rPr>
      </w:pPr>
      <w:r w:rsidRPr="00E5479E">
        <w:rPr>
          <w:b/>
          <w:sz w:val="28"/>
          <w:lang w:val="en-US"/>
        </w:rPr>
        <w:t>Recalde H.R. A simple method of obtaining monocytes in suspension / H.R. Recalde // Journal of Immunological Methods. – 1994. – Volume 69. – P. 71-77.</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Reddy M.S. Periodontal disease progression / M.S. Reddy, M.K. Jef</w:t>
      </w:r>
      <w:r w:rsidRPr="00E5479E">
        <w:rPr>
          <w:b/>
          <w:sz w:val="28"/>
          <w:lang w:val="en-US"/>
        </w:rPr>
        <w:t>f</w:t>
      </w:r>
      <w:r w:rsidRPr="00E5479E">
        <w:rPr>
          <w:b/>
          <w:sz w:val="28"/>
          <w:lang w:val="en-US"/>
        </w:rPr>
        <w:t>coat // Current Opinions in Periodontology. – 1993. – Volume 3. – P. 52-59.</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Rôças I.N. Root canal microbiota of teeth with chronic apical periodo</w:t>
      </w:r>
      <w:r w:rsidRPr="00E5479E">
        <w:rPr>
          <w:b/>
          <w:sz w:val="28"/>
          <w:lang w:val="en-US"/>
        </w:rPr>
        <w:t>n</w:t>
      </w:r>
      <w:r w:rsidRPr="00E5479E">
        <w:rPr>
          <w:b/>
          <w:sz w:val="28"/>
          <w:lang w:val="en-US"/>
        </w:rPr>
        <w:t>titis / I.N. Rôças, J.F. Siqueira Jr. // Journal of Clinical Microbiology. – 2008. – № 9. – P. 331-336.</w:t>
      </w:r>
    </w:p>
    <w:p w:rsidR="0019442B" w:rsidRPr="00E5479E" w:rsidRDefault="0019442B" w:rsidP="00DA0CD3">
      <w:pPr>
        <w:numPr>
          <w:ilvl w:val="0"/>
          <w:numId w:val="70"/>
        </w:numPr>
        <w:suppressAutoHyphens w:val="0"/>
        <w:spacing w:line="360" w:lineRule="auto"/>
        <w:jc w:val="both"/>
        <w:rPr>
          <w:sz w:val="28"/>
          <w:lang w:val="en-US"/>
        </w:rPr>
      </w:pPr>
      <w:r w:rsidRPr="00E5479E">
        <w:rPr>
          <w:sz w:val="28"/>
          <w:lang w:val="en-US"/>
        </w:rPr>
        <w:lastRenderedPageBreak/>
        <w:t>Rosenthal R.S. Isolation of peptidoglycan and soluble peptidoglycan fra</w:t>
      </w:r>
      <w:r w:rsidRPr="00E5479E">
        <w:rPr>
          <w:sz w:val="28"/>
          <w:lang w:val="en-US"/>
        </w:rPr>
        <w:t>g</w:t>
      </w:r>
      <w:r w:rsidRPr="00E5479E">
        <w:rPr>
          <w:sz w:val="28"/>
          <w:lang w:val="en-US"/>
        </w:rPr>
        <w:t>ments / R.S. Rosenthal, R. Dziarski // Methods in Enzymology. – 2004. – № 235. – P. 253-285.</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Scannapieco F.A. Periodontitis and chronic kidney disease / F.A. Scann</w:t>
      </w:r>
      <w:r w:rsidRPr="00E5479E">
        <w:rPr>
          <w:b/>
          <w:sz w:val="28"/>
          <w:lang w:val="en-US"/>
        </w:rPr>
        <w:t>a</w:t>
      </w:r>
      <w:r w:rsidRPr="00E5479E">
        <w:rPr>
          <w:b/>
          <w:sz w:val="28"/>
          <w:lang w:val="en-US"/>
        </w:rPr>
        <w:t xml:space="preserve">pieco, M. Panesar // Journal of Periodontology. – 2008. – № 9. – P. 1617-1619. </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 xml:space="preserve">Seymour G.J. Immunopathogenesis of chronic inflammatory periodontal disease: cellular and molecular mechanisms / G.J. Seymour, E. Gemmel, R.A. Reinhardt // Journal of Periodontal Research. – 1993. – № 2. – </w:t>
      </w:r>
      <w:proofErr w:type="gramStart"/>
      <w:r w:rsidRPr="00E5479E">
        <w:rPr>
          <w:b/>
          <w:sz w:val="28"/>
          <w:lang w:val="en-US"/>
        </w:rPr>
        <w:t>Р. 478</w:t>
      </w:r>
      <w:proofErr w:type="gramEnd"/>
      <w:r w:rsidRPr="00E5479E">
        <w:rPr>
          <w:b/>
          <w:sz w:val="28"/>
          <w:lang w:val="en-US"/>
        </w:rPr>
        <w:t>-486.</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Stress and the periodontal diseases: effects of catecholamines on the growth of periodontal bacteria in vitro</w:t>
      </w:r>
      <w:r w:rsidRPr="0019442B">
        <w:rPr>
          <w:b/>
          <w:sz w:val="28"/>
          <w:lang w:val="en-US"/>
        </w:rPr>
        <w:t xml:space="preserve"> / </w:t>
      </w:r>
      <w:r w:rsidRPr="00E5479E">
        <w:rPr>
          <w:b/>
          <w:sz w:val="28"/>
          <w:lang w:val="en-US"/>
        </w:rPr>
        <w:t>A. Roberts, J.B. Matthews, S.S. Socransky</w:t>
      </w:r>
      <w:r w:rsidRPr="0019442B">
        <w:rPr>
          <w:b/>
          <w:sz w:val="28"/>
          <w:lang w:val="en-US"/>
        </w:rPr>
        <w:t xml:space="preserve"> </w:t>
      </w:r>
      <w:r w:rsidRPr="00E5479E">
        <w:rPr>
          <w:b/>
          <w:sz w:val="28"/>
          <w:lang w:val="en-US"/>
        </w:rPr>
        <w:t xml:space="preserve">[et al.] // Oral Microbiology and Immunology. – 2002. – </w:t>
      </w:r>
      <w:r w:rsidRPr="0019442B">
        <w:rPr>
          <w:b/>
          <w:sz w:val="28"/>
          <w:lang w:val="en-US"/>
        </w:rPr>
        <w:t xml:space="preserve">№ </w:t>
      </w:r>
      <w:r w:rsidRPr="00E5479E">
        <w:rPr>
          <w:b/>
          <w:sz w:val="28"/>
          <w:lang w:val="en-US"/>
        </w:rPr>
        <w:t>17</w:t>
      </w:r>
      <w:r w:rsidRPr="0019442B">
        <w:rPr>
          <w:b/>
          <w:sz w:val="28"/>
          <w:lang w:val="en-US"/>
        </w:rPr>
        <w:t xml:space="preserve">. – </w:t>
      </w:r>
      <w:proofErr w:type="gramStart"/>
      <w:r w:rsidRPr="00E5479E">
        <w:rPr>
          <w:b/>
          <w:sz w:val="28"/>
        </w:rPr>
        <w:t>Р</w:t>
      </w:r>
      <w:r w:rsidRPr="0019442B">
        <w:rPr>
          <w:b/>
          <w:sz w:val="28"/>
          <w:lang w:val="en-US"/>
        </w:rPr>
        <w:t xml:space="preserve">. </w:t>
      </w:r>
      <w:r w:rsidRPr="00E5479E">
        <w:rPr>
          <w:b/>
          <w:sz w:val="28"/>
          <w:lang w:val="en-US"/>
        </w:rPr>
        <w:t>296</w:t>
      </w:r>
      <w:proofErr w:type="gramEnd"/>
      <w:r w:rsidRPr="0019442B">
        <w:rPr>
          <w:b/>
          <w:sz w:val="28"/>
          <w:lang w:val="en-US"/>
        </w:rPr>
        <w:t>-</w:t>
      </w:r>
      <w:r w:rsidRPr="00E5479E">
        <w:rPr>
          <w:b/>
          <w:sz w:val="28"/>
          <w:lang w:val="en-US"/>
        </w:rPr>
        <w:t>303</w:t>
      </w:r>
      <w:r w:rsidRPr="0019442B">
        <w:rPr>
          <w:b/>
          <w:sz w:val="28"/>
          <w:lang w:val="en-US"/>
        </w:rPr>
        <w:t>.</w:t>
      </w:r>
    </w:p>
    <w:p w:rsidR="0019442B" w:rsidRPr="00E5479E" w:rsidRDefault="0019442B" w:rsidP="00DA0CD3">
      <w:pPr>
        <w:numPr>
          <w:ilvl w:val="0"/>
          <w:numId w:val="70"/>
        </w:numPr>
        <w:suppressAutoHyphens w:val="0"/>
        <w:spacing w:line="360" w:lineRule="auto"/>
        <w:jc w:val="both"/>
        <w:rPr>
          <w:sz w:val="28"/>
          <w:lang w:val="en-US"/>
        </w:rPr>
      </w:pPr>
      <w:r w:rsidRPr="00E5479E">
        <w:rPr>
          <w:sz w:val="28"/>
          <w:lang w:val="en-US"/>
        </w:rPr>
        <w:t>Uehara A.</w:t>
      </w:r>
      <w:r w:rsidRPr="0019442B">
        <w:rPr>
          <w:sz w:val="28"/>
          <w:lang w:val="en-US"/>
        </w:rPr>
        <w:t xml:space="preserve"> </w:t>
      </w:r>
      <w:r w:rsidRPr="00E5479E">
        <w:rPr>
          <w:sz w:val="28"/>
          <w:lang w:val="en-US"/>
        </w:rPr>
        <w:t>Contrasting responses of human gingival and colonic epithelial cells to lipopolysaccharides, lipoteichoic acids and peptidoglycans in the presence of soluble CD14 / A. Uehara, S. Sugawara, R. Tamai, H. Takada // Medical Microbiology and I</w:t>
      </w:r>
      <w:r w:rsidRPr="00E5479E">
        <w:rPr>
          <w:sz w:val="28"/>
          <w:lang w:val="en-US"/>
        </w:rPr>
        <w:t>m</w:t>
      </w:r>
      <w:r w:rsidRPr="00E5479E">
        <w:rPr>
          <w:sz w:val="28"/>
          <w:lang w:val="en-US"/>
        </w:rPr>
        <w:t xml:space="preserve">munology (Berlin). – 2001. – </w:t>
      </w:r>
      <w:r w:rsidRPr="0019442B">
        <w:rPr>
          <w:sz w:val="28"/>
          <w:lang w:val="en-US"/>
        </w:rPr>
        <w:t>№</w:t>
      </w:r>
      <w:r w:rsidRPr="00E5479E">
        <w:rPr>
          <w:sz w:val="28"/>
          <w:lang w:val="en-US"/>
        </w:rPr>
        <w:t xml:space="preserve"> 4. – P. 185-192.</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Van Dyke T.E. The management of inflammation in periodontal disease / T.E. Van Dyke // Journal of Periodontology. – 2008. – 8</w:t>
      </w:r>
      <w:r w:rsidRPr="00E5479E">
        <w:rPr>
          <w:b/>
          <w:sz w:val="28"/>
          <w:vertAlign w:val="superscript"/>
          <w:lang w:val="en-US"/>
        </w:rPr>
        <w:t>th</w:t>
      </w:r>
      <w:r w:rsidRPr="00E5479E">
        <w:rPr>
          <w:b/>
          <w:sz w:val="28"/>
          <w:lang w:val="en-US"/>
        </w:rPr>
        <w:t xml:space="preserve"> supplement. – P. 1601-1608.</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Welsh R.M. Immune deficiency, immune silencing, and clonal exhau</w:t>
      </w:r>
      <w:r w:rsidRPr="00E5479E">
        <w:rPr>
          <w:b/>
          <w:sz w:val="28"/>
          <w:lang w:val="en-US"/>
        </w:rPr>
        <w:t>s</w:t>
      </w:r>
      <w:r w:rsidRPr="00E5479E">
        <w:rPr>
          <w:b/>
          <w:sz w:val="28"/>
          <w:lang w:val="en-US"/>
        </w:rPr>
        <w:t>tion of T-cell responses during periodontal diseases / R.M. Welsh // Current Opinions in Micr</w:t>
      </w:r>
      <w:r w:rsidRPr="00E5479E">
        <w:rPr>
          <w:b/>
          <w:sz w:val="28"/>
          <w:lang w:val="en-US"/>
        </w:rPr>
        <w:t>o</w:t>
      </w:r>
      <w:r w:rsidRPr="00E5479E">
        <w:rPr>
          <w:b/>
          <w:sz w:val="28"/>
          <w:lang w:val="en-US"/>
        </w:rPr>
        <w:t xml:space="preserve">biology. – 2005. – № 2. – P. 382-387. </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Williams R.C. Periodontal diseases:</w:t>
      </w:r>
      <w:r w:rsidRPr="004C69CB">
        <w:rPr>
          <w:b/>
          <w:sz w:val="28"/>
          <w:lang w:val="en-US"/>
        </w:rPr>
        <w:t xml:space="preserve"> </w:t>
      </w:r>
      <w:r w:rsidRPr="00E5479E">
        <w:rPr>
          <w:b/>
          <w:sz w:val="28"/>
          <w:lang w:val="en-US"/>
        </w:rPr>
        <w:t xml:space="preserve">gingivitis, juvenile periodontitis, adult periodontitis / R.C. Williams // Current Clinical Top Infectious Diseases. – 1993. – Volume 13. – P. 146-163. </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Yang Y. Immunopathology of chronic inflammatory periodontal di</w:t>
      </w:r>
      <w:r w:rsidRPr="00E5479E">
        <w:rPr>
          <w:b/>
          <w:sz w:val="28"/>
          <w:lang w:val="en-US"/>
        </w:rPr>
        <w:t>s</w:t>
      </w:r>
      <w:r w:rsidRPr="00E5479E">
        <w:rPr>
          <w:b/>
          <w:sz w:val="28"/>
          <w:lang w:val="en-US"/>
        </w:rPr>
        <w:t>eases / Y. Yang // Journal of Clinical Immunology. – 2005. – № 19. – P. 337-349.</w:t>
      </w:r>
    </w:p>
    <w:p w:rsidR="0019442B" w:rsidRPr="00E5479E" w:rsidRDefault="0019442B" w:rsidP="00DA0CD3">
      <w:pPr>
        <w:widowControl w:val="0"/>
        <w:numPr>
          <w:ilvl w:val="0"/>
          <w:numId w:val="70"/>
        </w:numPr>
        <w:shd w:val="clear" w:color="auto" w:fill="FFFFFF"/>
        <w:suppressAutoHyphens w:val="0"/>
        <w:spacing w:line="360" w:lineRule="auto"/>
        <w:jc w:val="both"/>
        <w:rPr>
          <w:b/>
          <w:sz w:val="28"/>
          <w:lang w:val="en-US"/>
        </w:rPr>
      </w:pPr>
      <w:r w:rsidRPr="00E5479E">
        <w:rPr>
          <w:b/>
          <w:sz w:val="28"/>
          <w:lang w:val="en-US"/>
        </w:rPr>
        <w:t>Zhu J. Microbiological aspects of inflammatory oral diseases / J. Zhu, S. Okada // Current Microbiology. – 2005. – № 38. – P. 244-249.</w:t>
      </w:r>
    </w:p>
    <w:p w:rsidR="00EF6367" w:rsidRPr="0019442B" w:rsidRDefault="00EF6367" w:rsidP="0019442B">
      <w:pPr>
        <w:jc w:val="center"/>
        <w:rPr>
          <w:sz w:val="28"/>
          <w:szCs w:val="28"/>
          <w:lang w:val="en-US"/>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8"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D3" w:rsidRDefault="00DA0CD3">
      <w:r>
        <w:separator/>
      </w:r>
    </w:p>
  </w:endnote>
  <w:endnote w:type="continuationSeparator" w:id="0">
    <w:p w:rsidR="00DA0CD3" w:rsidRDefault="00DA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D3" w:rsidRDefault="00DA0CD3">
      <w:r>
        <w:separator/>
      </w:r>
    </w:p>
  </w:footnote>
  <w:footnote w:type="continuationSeparator" w:id="0">
    <w:p w:rsidR="00DA0CD3" w:rsidRDefault="00DA0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1AA3205"/>
    <w:multiLevelType w:val="hybridMultilevel"/>
    <w:tmpl w:val="B982500C"/>
    <w:lvl w:ilvl="0" w:tplc="DE1A2C92">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95D07E5"/>
    <w:multiLevelType w:val="hybridMultilevel"/>
    <w:tmpl w:val="CC94E322"/>
    <w:lvl w:ilvl="0" w:tplc="88E2D7D0">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1426D1E"/>
    <w:multiLevelType w:val="hybridMultilevel"/>
    <w:tmpl w:val="B94E6A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3961ED4"/>
    <w:multiLevelType w:val="hybridMultilevel"/>
    <w:tmpl w:val="9F4E10E4"/>
    <w:lvl w:ilvl="0" w:tplc="63481A64">
      <w:start w:val="1"/>
      <w:numFmt w:val="decimal"/>
      <w:lvlText w:val="%1."/>
      <w:lvlJc w:val="left"/>
      <w:pPr>
        <w:tabs>
          <w:tab w:val="num" w:pos="0"/>
        </w:tabs>
        <w:ind w:left="737" w:hanging="73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8"/>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4"/>
  </w:num>
  <w:num w:numId="57">
    <w:abstractNumId w:val="64"/>
  </w:num>
  <w:num w:numId="58">
    <w:abstractNumId w:val="59"/>
  </w:num>
  <w:num w:numId="59">
    <w:abstractNumId w:val="60"/>
  </w:num>
  <w:num w:numId="60">
    <w:abstractNumId w:val="66"/>
  </w:num>
  <w:num w:numId="61">
    <w:abstractNumId w:val="54"/>
  </w:num>
  <w:num w:numId="62">
    <w:abstractNumId w:val="69"/>
  </w:num>
  <w:num w:numId="63">
    <w:abstractNumId w:val="45"/>
  </w:num>
  <w:num w:numId="64">
    <w:abstractNumId w:val="61"/>
  </w:num>
  <w:num w:numId="65">
    <w:abstractNumId w:val="65"/>
  </w:num>
  <w:num w:numId="66">
    <w:abstractNumId w:val="6"/>
  </w:num>
  <w:num w:numId="67">
    <w:abstractNumId w:val="67"/>
  </w:num>
  <w:num w:numId="68">
    <w:abstractNumId w:val="46"/>
  </w:num>
  <w:num w:numId="69">
    <w:abstractNumId w:val="63"/>
  </w:num>
  <w:num w:numId="70">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0CD3"/>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sites/entrez?Db=pubmed&amp;Cmd=Search&amp;Term=%22Shah%20HN%22%5BAuthor%5D&amp;itool=EntrezSystem2.PEntrez.Pubmed.Pubmed_ResultsPanel.Pubmed_DiscoveryPanel.Pubmed_RVAbstractPlus" TargetMode="Externa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sites/entrez?Db=pubmed&amp;Cmd=Search&amp;Term=%22Gomes%20BP%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Offenbacher%20S%22%5BAuthor%5D&amp;itool=EntrezSystem2.PEntrez.Pubmed.Pubmed_ResultsPanel.Pubmed_DiscoveryPanel.Pubmed_RVAbstractPlus" TargetMode="External"/><Relationship Id="rId2" Type="http://schemas.openxmlformats.org/officeDocument/2006/relationships/numbering" Target="numbering.xml"/><Relationship Id="rId16" Type="http://schemas.openxmlformats.org/officeDocument/2006/relationships/hyperlink" Target="http://www.ncbi.nlm.nih.gov/sites/entrez?Db=pubmed&amp;Cmd=Search&amp;Term=%22Ferraz%20CC%22%5BAuthor%5D&amp;itool=EntrezSystem2.PEntrez.Pubmed.Pubmed_ResultsPanel.Pubmed_DiscoveryPanel.Pubmed_RVAbstractPl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Jacinto%20RC%22%5BAuthor%5D&amp;itool=EntrezSystem2.PEntrez.Pubmed.Pubmed_ResultsPanel.Pubmed_DiscoveryPanel.Pubmed_RVAbstractPlus" TargetMode="External"/><Relationship Id="rId5" Type="http://schemas.openxmlformats.org/officeDocument/2006/relationships/settings" Target="settings.xml"/><Relationship Id="rId15" Type="http://schemas.openxmlformats.org/officeDocument/2006/relationships/hyperlink" Target="http://www.ncbi.nlm.nih.gov/sites/entrez?Db=pubmed&amp;Cmd=Search&amp;Term=%22Gomes%20BP%22%5BAuthor%5D&amp;itool=EntrezSystem2.PEntrez.Pubmed.Pubmed_ResultsPanel.Pubmed_DiscoveryPanel.Pubmed_RVAbstractPlus" TargetMode="External"/><Relationship Id="rId10" Type="http://schemas.openxmlformats.org/officeDocument/2006/relationships/hyperlink" Target="http://www.ncbi.nlm.nih.gov/sites/entrez?Db=pubmed&amp;Cmd=Search&amp;Term=%22Drisko%20CH%22%5BAuthor%5D&amp;itool=EntrezSystem2.PEntrez.Pubmed.Pubmed_ResultsPanel.Pubmed_DiscoveryPanel.Pubmed_RVAbstractPlu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javascript:AL_get(this,%20'jour',%20'Int%20Endod%2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0CA6-4C3B-4B0C-8B36-5C5AFB01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5770</TotalTime>
  <Pages>30</Pages>
  <Words>6855</Words>
  <Characters>39076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1129</cp:revision>
  <cp:lastPrinted>2009-02-06T08:36:00Z</cp:lastPrinted>
  <dcterms:created xsi:type="dcterms:W3CDTF">2015-03-22T11:10:00Z</dcterms:created>
  <dcterms:modified xsi:type="dcterms:W3CDTF">2015-09-08T12:56:00Z</dcterms:modified>
</cp:coreProperties>
</file>