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D9" w:rsidRPr="00A14274" w:rsidRDefault="004177D9" w:rsidP="00417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4274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4177D9" w:rsidRPr="009C0D97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val="uk-UA" w:eastAsia="uk-UA"/>
        </w:rPr>
      </w:pPr>
      <w:r>
        <w:fldChar w:fldCharType="begin"/>
      </w:r>
      <w:r w:rsidRPr="00A53852">
        <w:rPr>
          <w:lang w:val="uk-UA"/>
        </w:rPr>
        <w:instrText xml:space="preserve"> </w:instrText>
      </w:r>
      <w:r>
        <w:instrText>TOC</w:instrText>
      </w:r>
      <w:r w:rsidRPr="00A53852">
        <w:rPr>
          <w:lang w:val="uk-UA"/>
        </w:rPr>
        <w:instrText xml:space="preserve"> \</w:instrText>
      </w:r>
      <w:r>
        <w:instrText>o</w:instrText>
      </w:r>
      <w:r w:rsidRPr="00A53852">
        <w:rPr>
          <w:lang w:val="uk-UA"/>
        </w:rPr>
        <w:instrText xml:space="preserve"> "1-3" \</w:instrText>
      </w:r>
      <w:r>
        <w:instrText>h</w:instrText>
      </w:r>
      <w:r w:rsidRPr="00A53852">
        <w:rPr>
          <w:lang w:val="uk-UA"/>
        </w:rPr>
        <w:instrText xml:space="preserve"> \</w:instrText>
      </w:r>
      <w:r>
        <w:instrText>z</w:instrText>
      </w:r>
      <w:r w:rsidRPr="00A53852">
        <w:rPr>
          <w:lang w:val="uk-UA"/>
        </w:rPr>
        <w:instrText xml:space="preserve"> \</w:instrText>
      </w:r>
      <w:r>
        <w:instrText>u</w:instrText>
      </w:r>
      <w:r w:rsidRPr="00A53852">
        <w:rPr>
          <w:lang w:val="uk-UA"/>
        </w:rPr>
        <w:instrText xml:space="preserve"> </w:instrText>
      </w:r>
      <w:r>
        <w:fldChar w:fldCharType="separate"/>
      </w:r>
    </w:p>
    <w:p w:rsidR="004177D9" w:rsidRPr="00A53852" w:rsidRDefault="004177D9" w:rsidP="004177D9">
      <w:pPr>
        <w:rPr>
          <w:lang w:val="uk-UA"/>
        </w:rPr>
      </w:pPr>
      <w:r>
        <w:rPr>
          <w:b/>
          <w:bCs/>
        </w:rPr>
        <w:fldChar w:fldCharType="end"/>
      </w:r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3773569" w:history="1">
        <w:r w:rsidRPr="00F12732">
          <w:rPr>
            <w:rStyle w:val="af3"/>
            <w:noProof/>
          </w:rPr>
          <w:t>ВСТУП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0" w:history="1">
        <w:r w:rsidRPr="00F12732">
          <w:rPr>
            <w:rStyle w:val="af3"/>
            <w:noProof/>
          </w:rPr>
          <w:t>РОЗДІЛ 1. Теоретично-методологічні аспекти ідентифікації спекулятивних операцій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1" w:history="1">
        <w:r w:rsidRPr="00F12732">
          <w:rPr>
            <w:rStyle w:val="af3"/>
            <w:noProof/>
          </w:rPr>
          <w:t>1.1. Поняття та зміст спекулятивних фінансових операцій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2" w:history="1">
        <w:r w:rsidRPr="00F12732">
          <w:rPr>
            <w:rStyle w:val="af3"/>
            <w:noProof/>
          </w:rPr>
          <w:t>1.2. Класифікація спекулятивних операцій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3" w:history="1">
        <w:r w:rsidRPr="00F12732">
          <w:rPr>
            <w:rStyle w:val="af3"/>
            <w:noProof/>
          </w:rPr>
          <w:t>Висновки до 1-го розділу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4" w:history="1">
        <w:r w:rsidRPr="00F12732">
          <w:rPr>
            <w:rStyle w:val="af3"/>
            <w:noProof/>
          </w:rPr>
          <w:t>РОЗДІЛ 2. Основні спекулятивні стратегії на сучасних міжнародних фінансових ринках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5" w:history="1">
        <w:r w:rsidRPr="00F12732">
          <w:rPr>
            <w:rStyle w:val="af3"/>
            <w:noProof/>
          </w:rPr>
          <w:t>2.1. Стратегія і тактика спекулятивних операцій на міжнародних ринках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6" w:history="1">
        <w:r w:rsidRPr="00F12732">
          <w:rPr>
            <w:rStyle w:val="af3"/>
            <w:noProof/>
          </w:rPr>
          <w:t>2.2. Практика здійснення спекулятивних операцій в міжнародній економіці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7" w:history="1">
        <w:r w:rsidRPr="00F12732">
          <w:rPr>
            <w:rStyle w:val="af3"/>
            <w:noProof/>
          </w:rPr>
          <w:t>2.3. Сучасний стан спекулятивних операцій в міжнародній економіці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8" w:history="1">
        <w:r w:rsidRPr="00F12732">
          <w:rPr>
            <w:rStyle w:val="af3"/>
            <w:noProof/>
          </w:rPr>
          <w:t>Висновки до 2-го розділу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79" w:history="1">
        <w:r w:rsidRPr="00F12732">
          <w:rPr>
            <w:rStyle w:val="af3"/>
            <w:noProof/>
          </w:rPr>
          <w:t>РОЗДІЛ 3. Вплив спекулятивних фінансових операцій на міжнародні економічні відносини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80" w:history="1">
        <w:r w:rsidRPr="00F12732">
          <w:rPr>
            <w:rStyle w:val="af3"/>
            <w:noProof/>
          </w:rPr>
          <w:t>3.1. Основані напрями впливу спекулятивних фінансових операцій на міжнародні економічні відносини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81" w:history="1">
        <w:r w:rsidRPr="00F12732">
          <w:rPr>
            <w:rStyle w:val="af3"/>
            <w:noProof/>
          </w:rPr>
          <w:t>3.2. Шляхи мінімізації негативних  наслідків транскордонних фінансових спекуляцій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82" w:history="1">
        <w:r w:rsidRPr="00F12732">
          <w:rPr>
            <w:rStyle w:val="af3"/>
            <w:noProof/>
          </w:rPr>
          <w:t>Висновки до 3-го розділу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83" w:history="1">
        <w:r w:rsidRPr="00F12732">
          <w:rPr>
            <w:rStyle w:val="af3"/>
            <w:noProof/>
          </w:rPr>
          <w:t>ВИСНОВКИ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177D9" w:rsidRPr="00581E7E" w:rsidRDefault="004177D9" w:rsidP="004177D9">
      <w:pPr>
        <w:pStyle w:val="12"/>
        <w:tabs>
          <w:tab w:val="right" w:leader="dot" w:pos="9627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503773584" w:history="1">
        <w:r w:rsidRPr="00F12732">
          <w:rPr>
            <w:rStyle w:val="af3"/>
            <w:noProof/>
          </w:rPr>
          <w:t>СПИСОК ВИКОРИСТАНИХ ДЖЕРЕЛ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_Toc503773584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4177D9" w:rsidRDefault="004177D9" w:rsidP="004177D9">
      <w:r>
        <w:rPr>
          <w:b/>
          <w:bCs/>
        </w:rPr>
        <w:fldChar w:fldCharType="end"/>
      </w:r>
    </w:p>
    <w:p w:rsidR="004177D9" w:rsidRPr="00A53852" w:rsidRDefault="004177D9" w:rsidP="004177D9">
      <w:pPr>
        <w:rPr>
          <w:lang w:val="uk-UA"/>
        </w:rPr>
      </w:pPr>
    </w:p>
    <w:p w:rsidR="004177D9" w:rsidRPr="00A14274" w:rsidRDefault="004177D9" w:rsidP="004177D9">
      <w:pPr>
        <w:pStyle w:val="31"/>
        <w:tabs>
          <w:tab w:val="right" w:leader="dot" w:pos="9628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177D9" w:rsidRPr="00A14274" w:rsidRDefault="004177D9" w:rsidP="004177D9">
      <w:pPr>
        <w:pStyle w:val="31"/>
        <w:tabs>
          <w:tab w:val="right" w:leader="dot" w:pos="9628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177D9" w:rsidRPr="00A14274" w:rsidRDefault="004177D9" w:rsidP="004177D9">
      <w:pPr>
        <w:pStyle w:val="31"/>
        <w:tabs>
          <w:tab w:val="right" w:leader="dot" w:pos="9628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177D9" w:rsidRDefault="004177D9" w:rsidP="004177D9">
      <w:pPr>
        <w:pStyle w:val="31"/>
        <w:tabs>
          <w:tab w:val="right" w:leader="dot" w:pos="9628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177D9" w:rsidRDefault="004177D9" w:rsidP="004177D9">
      <w:pPr>
        <w:rPr>
          <w:lang w:val="uk-UA"/>
        </w:rPr>
      </w:pPr>
    </w:p>
    <w:p w:rsidR="004177D9" w:rsidRPr="00F36557" w:rsidRDefault="004177D9" w:rsidP="004177D9">
      <w:pPr>
        <w:rPr>
          <w:lang w:val="uk-UA"/>
        </w:rPr>
      </w:pPr>
    </w:p>
    <w:p w:rsidR="004177D9" w:rsidRPr="00A14274" w:rsidRDefault="004177D9" w:rsidP="004177D9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177D9" w:rsidRPr="00FB031B" w:rsidRDefault="004177D9" w:rsidP="004177D9">
      <w:pPr>
        <w:pStyle w:val="1"/>
        <w:rPr>
          <w:rStyle w:val="af4"/>
          <w:b/>
          <w:lang w:val="uk-UA"/>
        </w:rPr>
      </w:pPr>
      <w:bookmarkStart w:id="0" w:name="_Toc467183741"/>
      <w:bookmarkStart w:id="1" w:name="_Toc473918239"/>
      <w:bookmarkStart w:id="2" w:name="_Toc479110799"/>
      <w:bookmarkStart w:id="3" w:name="_Toc479526708"/>
      <w:bookmarkStart w:id="4" w:name="_Toc480400475"/>
      <w:bookmarkStart w:id="5" w:name="_Toc503773569"/>
      <w:r w:rsidRPr="00FB031B">
        <w:rPr>
          <w:rStyle w:val="af4"/>
          <w:b/>
          <w:lang w:val="uk-UA"/>
        </w:rPr>
        <w:lastRenderedPageBreak/>
        <w:t>ВСТУП</w:t>
      </w:r>
      <w:bookmarkStart w:id="6" w:name="_Toc473918268"/>
      <w:bookmarkEnd w:id="0"/>
      <w:bookmarkEnd w:id="1"/>
      <w:bookmarkEnd w:id="2"/>
      <w:bookmarkEnd w:id="3"/>
      <w:bookmarkEnd w:id="4"/>
      <w:bookmarkEnd w:id="5"/>
      <w:bookmarkEnd w:id="6"/>
    </w:p>
    <w:p w:rsidR="004177D9" w:rsidRPr="00FB031B" w:rsidRDefault="004177D9" w:rsidP="004177D9">
      <w:pPr>
        <w:rPr>
          <w:lang w:val="uk-UA" w:eastAsia="ru-RU"/>
        </w:rPr>
      </w:pPr>
    </w:p>
    <w:p w:rsidR="004177D9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09E1">
        <w:rPr>
          <w:rFonts w:ascii="Times New Roman" w:hAnsi="Times New Roman"/>
          <w:sz w:val="28"/>
          <w:szCs w:val="28"/>
          <w:lang w:val="uk-UA"/>
        </w:rPr>
        <w:t>Зваж</w:t>
      </w:r>
      <w:r>
        <w:rPr>
          <w:rFonts w:ascii="Times New Roman" w:hAnsi="Times New Roman"/>
          <w:sz w:val="28"/>
          <w:szCs w:val="28"/>
          <w:lang w:val="uk-UA"/>
        </w:rPr>
        <w:t>аючи на циклічний характер роз</w:t>
      </w:r>
      <w:r w:rsidRPr="008209E1">
        <w:rPr>
          <w:rFonts w:ascii="Times New Roman" w:hAnsi="Times New Roman"/>
          <w:sz w:val="28"/>
          <w:szCs w:val="28"/>
          <w:lang w:val="uk-UA"/>
        </w:rPr>
        <w:t>витку еко</w:t>
      </w:r>
      <w:r>
        <w:rPr>
          <w:rFonts w:ascii="Times New Roman" w:hAnsi="Times New Roman"/>
          <w:sz w:val="28"/>
          <w:szCs w:val="28"/>
          <w:lang w:val="uk-UA"/>
        </w:rPr>
        <w:t xml:space="preserve">номіки та її секторів, учасники </w:t>
      </w:r>
      <w:r w:rsidRPr="008209E1">
        <w:rPr>
          <w:rFonts w:ascii="Times New Roman" w:hAnsi="Times New Roman"/>
          <w:sz w:val="28"/>
          <w:szCs w:val="28"/>
          <w:lang w:val="uk-UA"/>
        </w:rPr>
        <w:t xml:space="preserve">фінансового </w:t>
      </w:r>
      <w:r>
        <w:rPr>
          <w:rFonts w:ascii="Times New Roman" w:hAnsi="Times New Roman"/>
          <w:sz w:val="28"/>
          <w:szCs w:val="28"/>
          <w:lang w:val="uk-UA"/>
        </w:rPr>
        <w:t xml:space="preserve">ринку навчились заробляти </w:t>
      </w:r>
      <w:r w:rsidRPr="008209E1">
        <w:rPr>
          <w:rFonts w:ascii="Times New Roman" w:hAnsi="Times New Roman"/>
          <w:sz w:val="28"/>
          <w:szCs w:val="28"/>
          <w:lang w:val="uk-UA"/>
        </w:rPr>
        <w:t xml:space="preserve">гроші як на </w:t>
      </w:r>
      <w:r>
        <w:rPr>
          <w:rFonts w:ascii="Times New Roman" w:hAnsi="Times New Roman"/>
          <w:sz w:val="28"/>
          <w:szCs w:val="28"/>
          <w:lang w:val="uk-UA"/>
        </w:rPr>
        <w:t xml:space="preserve">піднесеннях, так і на падіннях. </w:t>
      </w:r>
      <w:r w:rsidRPr="008209E1">
        <w:rPr>
          <w:rFonts w:ascii="Times New Roman" w:hAnsi="Times New Roman"/>
          <w:sz w:val="28"/>
          <w:szCs w:val="28"/>
          <w:lang w:val="uk-UA"/>
        </w:rPr>
        <w:t>Будь-які к</w:t>
      </w:r>
      <w:r>
        <w:rPr>
          <w:rFonts w:ascii="Times New Roman" w:hAnsi="Times New Roman"/>
          <w:sz w:val="28"/>
          <w:szCs w:val="28"/>
          <w:lang w:val="uk-UA"/>
        </w:rPr>
        <w:t xml:space="preserve">оливання приносять дохід і лише </w:t>
      </w:r>
      <w:r w:rsidRPr="008209E1">
        <w:rPr>
          <w:rFonts w:ascii="Times New Roman" w:hAnsi="Times New Roman"/>
          <w:sz w:val="28"/>
          <w:szCs w:val="28"/>
          <w:lang w:val="uk-UA"/>
        </w:rPr>
        <w:t>стабільніст</w:t>
      </w:r>
      <w:r>
        <w:rPr>
          <w:rFonts w:ascii="Times New Roman" w:hAnsi="Times New Roman"/>
          <w:sz w:val="28"/>
          <w:szCs w:val="28"/>
          <w:lang w:val="uk-UA"/>
        </w:rPr>
        <w:t>ь не дає нічого для спекулятив</w:t>
      </w:r>
      <w:r w:rsidRPr="008209E1">
        <w:rPr>
          <w:rFonts w:ascii="Times New Roman" w:hAnsi="Times New Roman"/>
          <w:sz w:val="28"/>
          <w:szCs w:val="28"/>
          <w:lang w:val="uk-UA"/>
        </w:rPr>
        <w:t>ного капіт</w:t>
      </w:r>
      <w:r>
        <w:rPr>
          <w:rFonts w:ascii="Times New Roman" w:hAnsi="Times New Roman"/>
          <w:sz w:val="28"/>
          <w:szCs w:val="28"/>
          <w:lang w:val="uk-UA"/>
        </w:rPr>
        <w:t xml:space="preserve">алу, яким сьогодні перенасичена </w:t>
      </w:r>
      <w:r w:rsidRPr="008209E1">
        <w:rPr>
          <w:rFonts w:ascii="Times New Roman" w:hAnsi="Times New Roman"/>
          <w:sz w:val="28"/>
          <w:szCs w:val="28"/>
          <w:lang w:val="uk-UA"/>
        </w:rPr>
        <w:t>фінансо</w:t>
      </w:r>
      <w:r>
        <w:rPr>
          <w:rFonts w:ascii="Times New Roman" w:hAnsi="Times New Roman"/>
          <w:sz w:val="28"/>
          <w:szCs w:val="28"/>
          <w:lang w:val="uk-UA"/>
        </w:rPr>
        <w:t xml:space="preserve">ва система. Виграш отримує той, </w:t>
      </w:r>
      <w:r w:rsidRPr="008209E1">
        <w:rPr>
          <w:rFonts w:ascii="Times New Roman" w:hAnsi="Times New Roman"/>
          <w:sz w:val="28"/>
          <w:szCs w:val="28"/>
          <w:lang w:val="uk-UA"/>
        </w:rPr>
        <w:t>хто напередодні спад</w:t>
      </w:r>
      <w:r>
        <w:rPr>
          <w:rFonts w:ascii="Times New Roman" w:hAnsi="Times New Roman"/>
          <w:sz w:val="28"/>
          <w:szCs w:val="28"/>
          <w:lang w:val="uk-UA"/>
        </w:rPr>
        <w:t>у виходить із ризико</w:t>
      </w:r>
      <w:r w:rsidRPr="008209E1">
        <w:rPr>
          <w:rFonts w:ascii="Times New Roman" w:hAnsi="Times New Roman"/>
          <w:sz w:val="28"/>
          <w:szCs w:val="28"/>
          <w:lang w:val="uk-UA"/>
        </w:rPr>
        <w:t>ваних актив</w:t>
      </w:r>
      <w:r>
        <w:rPr>
          <w:rFonts w:ascii="Times New Roman" w:hAnsi="Times New Roman"/>
          <w:sz w:val="28"/>
          <w:szCs w:val="28"/>
          <w:lang w:val="uk-UA"/>
        </w:rPr>
        <w:t xml:space="preserve">ів та ринків у ліквідні та менш </w:t>
      </w:r>
      <w:r w:rsidRPr="008209E1">
        <w:rPr>
          <w:rFonts w:ascii="Times New Roman" w:hAnsi="Times New Roman"/>
          <w:sz w:val="28"/>
          <w:szCs w:val="28"/>
          <w:lang w:val="uk-UA"/>
        </w:rPr>
        <w:t xml:space="preserve">ризиковані, і </w:t>
      </w:r>
      <w:r>
        <w:rPr>
          <w:rFonts w:ascii="Times New Roman" w:hAnsi="Times New Roman"/>
          <w:sz w:val="28"/>
          <w:szCs w:val="28"/>
          <w:lang w:val="uk-UA"/>
        </w:rPr>
        <w:t>навпаки. З таких позицій світо</w:t>
      </w:r>
      <w:r w:rsidRPr="008209E1">
        <w:rPr>
          <w:rFonts w:ascii="Times New Roman" w:hAnsi="Times New Roman"/>
          <w:sz w:val="28"/>
          <w:szCs w:val="28"/>
          <w:lang w:val="uk-UA"/>
        </w:rPr>
        <w:t>ва криза м</w:t>
      </w:r>
      <w:r>
        <w:rPr>
          <w:rFonts w:ascii="Times New Roman" w:hAnsi="Times New Roman"/>
          <w:sz w:val="28"/>
          <w:szCs w:val="28"/>
          <w:lang w:val="uk-UA"/>
        </w:rPr>
        <w:t xml:space="preserve">оже розглядатись як грандіозний </w:t>
      </w:r>
      <w:proofErr w:type="spellStart"/>
      <w:r w:rsidRPr="008209E1">
        <w:rPr>
          <w:rFonts w:ascii="Times New Roman" w:hAnsi="Times New Roman"/>
          <w:sz w:val="28"/>
          <w:szCs w:val="28"/>
          <w:lang w:val="uk-UA"/>
        </w:rPr>
        <w:t>перероз</w:t>
      </w:r>
      <w:r>
        <w:rPr>
          <w:rFonts w:ascii="Times New Roman" w:hAnsi="Times New Roman"/>
          <w:sz w:val="28"/>
          <w:szCs w:val="28"/>
          <w:lang w:val="uk-UA"/>
        </w:rPr>
        <w:t>подільчий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процес. Маючи загаль</w:t>
      </w:r>
      <w:r w:rsidRPr="008209E1">
        <w:rPr>
          <w:rFonts w:ascii="Times New Roman" w:hAnsi="Times New Roman"/>
          <w:sz w:val="28"/>
          <w:szCs w:val="28"/>
          <w:lang w:val="uk-UA"/>
        </w:rPr>
        <w:t>не негативн</w:t>
      </w:r>
      <w:r>
        <w:rPr>
          <w:rFonts w:ascii="Times New Roman" w:hAnsi="Times New Roman"/>
          <w:sz w:val="28"/>
          <w:szCs w:val="28"/>
          <w:lang w:val="uk-UA"/>
        </w:rPr>
        <w:t xml:space="preserve">е сальдо для усієї цивілізації, </w:t>
      </w:r>
      <w:r w:rsidRPr="008209E1">
        <w:rPr>
          <w:rFonts w:ascii="Times New Roman" w:hAnsi="Times New Roman"/>
          <w:sz w:val="28"/>
          <w:szCs w:val="28"/>
          <w:lang w:val="uk-UA"/>
        </w:rPr>
        <w:t>будучи загалом грою і</w:t>
      </w:r>
      <w:r>
        <w:rPr>
          <w:rFonts w:ascii="Times New Roman" w:hAnsi="Times New Roman"/>
          <w:sz w:val="28"/>
          <w:szCs w:val="28"/>
          <w:lang w:val="uk-UA"/>
        </w:rPr>
        <w:t xml:space="preserve">з від’ємною сумою, </w:t>
      </w:r>
      <w:r w:rsidRPr="008209E1">
        <w:rPr>
          <w:rFonts w:ascii="Times New Roman" w:hAnsi="Times New Roman"/>
          <w:sz w:val="28"/>
          <w:szCs w:val="28"/>
          <w:lang w:val="uk-UA"/>
        </w:rPr>
        <w:t>вона прин</w:t>
      </w:r>
      <w:r>
        <w:rPr>
          <w:rFonts w:ascii="Times New Roman" w:hAnsi="Times New Roman"/>
          <w:sz w:val="28"/>
          <w:szCs w:val="28"/>
          <w:lang w:val="uk-UA"/>
        </w:rPr>
        <w:t xml:space="preserve">осить колосальні вигоди для тих </w:t>
      </w:r>
      <w:r w:rsidRPr="008209E1">
        <w:rPr>
          <w:rFonts w:ascii="Times New Roman" w:hAnsi="Times New Roman"/>
          <w:sz w:val="28"/>
          <w:szCs w:val="28"/>
          <w:lang w:val="uk-UA"/>
        </w:rPr>
        <w:t>структур, які</w:t>
      </w:r>
      <w:r>
        <w:rPr>
          <w:rFonts w:ascii="Times New Roman" w:hAnsi="Times New Roman"/>
          <w:sz w:val="28"/>
          <w:szCs w:val="28"/>
          <w:lang w:val="uk-UA"/>
        </w:rPr>
        <w:t xml:space="preserve"> знають, коли і в якому напрям</w:t>
      </w:r>
      <w:r w:rsidRPr="008209E1">
        <w:rPr>
          <w:rFonts w:ascii="Times New Roman" w:hAnsi="Times New Roman"/>
          <w:sz w:val="28"/>
          <w:szCs w:val="28"/>
          <w:lang w:val="uk-UA"/>
        </w:rPr>
        <w:t>ку розвиват</w:t>
      </w:r>
      <w:r>
        <w:rPr>
          <w:rFonts w:ascii="Times New Roman" w:hAnsi="Times New Roman"/>
          <w:sz w:val="28"/>
          <w:szCs w:val="28"/>
          <w:lang w:val="uk-UA"/>
        </w:rPr>
        <w:t xml:space="preserve">имуться події, цінова динаміка. </w:t>
      </w:r>
      <w:r w:rsidRPr="008209E1">
        <w:rPr>
          <w:rFonts w:ascii="Times New Roman" w:hAnsi="Times New Roman"/>
          <w:sz w:val="28"/>
          <w:szCs w:val="28"/>
          <w:lang w:val="uk-UA"/>
        </w:rPr>
        <w:t>Факт, що су</w:t>
      </w:r>
      <w:r>
        <w:rPr>
          <w:rFonts w:ascii="Times New Roman" w:hAnsi="Times New Roman"/>
          <w:sz w:val="28"/>
          <w:szCs w:val="28"/>
          <w:lang w:val="uk-UA"/>
        </w:rPr>
        <w:t>часні фінансові ринки за кордо</w:t>
      </w:r>
      <w:r w:rsidRPr="008209E1">
        <w:rPr>
          <w:rFonts w:ascii="Times New Roman" w:hAnsi="Times New Roman"/>
          <w:sz w:val="28"/>
          <w:szCs w:val="28"/>
          <w:lang w:val="uk-UA"/>
        </w:rPr>
        <w:t>ном зазна</w:t>
      </w:r>
      <w:r>
        <w:rPr>
          <w:rFonts w:ascii="Times New Roman" w:hAnsi="Times New Roman"/>
          <w:sz w:val="28"/>
          <w:szCs w:val="28"/>
          <w:lang w:val="uk-UA"/>
        </w:rPr>
        <w:t>ють спекулятивних атак за допо</w:t>
      </w:r>
      <w:r w:rsidRPr="008209E1">
        <w:rPr>
          <w:rFonts w:ascii="Times New Roman" w:hAnsi="Times New Roman"/>
          <w:sz w:val="28"/>
          <w:szCs w:val="28"/>
          <w:lang w:val="uk-UA"/>
        </w:rPr>
        <w:t>могою зн</w:t>
      </w:r>
      <w:r>
        <w:rPr>
          <w:rFonts w:ascii="Times New Roman" w:hAnsi="Times New Roman"/>
          <w:sz w:val="28"/>
          <w:szCs w:val="28"/>
          <w:lang w:val="uk-UA"/>
        </w:rPr>
        <w:t xml:space="preserve">ачних рухів фінансових ресурсів </w:t>
      </w:r>
      <w:r w:rsidRPr="008209E1">
        <w:rPr>
          <w:rFonts w:ascii="Times New Roman" w:hAnsi="Times New Roman"/>
          <w:sz w:val="28"/>
          <w:szCs w:val="28"/>
          <w:lang w:val="uk-UA"/>
        </w:rPr>
        <w:t>та інформа</w:t>
      </w:r>
      <w:r>
        <w:rPr>
          <w:rFonts w:ascii="Times New Roman" w:hAnsi="Times New Roman"/>
          <w:sz w:val="28"/>
          <w:szCs w:val="28"/>
          <w:lang w:val="uk-UA"/>
        </w:rPr>
        <w:t>ційного бомбування, є давно ви</w:t>
      </w:r>
      <w:r w:rsidRPr="008209E1">
        <w:rPr>
          <w:rFonts w:ascii="Times New Roman" w:hAnsi="Times New Roman"/>
          <w:sz w:val="28"/>
          <w:szCs w:val="28"/>
          <w:lang w:val="uk-UA"/>
        </w:rPr>
        <w:t>знаним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FB031B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31B">
        <w:rPr>
          <w:rFonts w:ascii="Times New Roman" w:hAnsi="Times New Roman"/>
          <w:sz w:val="28"/>
          <w:szCs w:val="28"/>
          <w:lang w:val="uk-UA"/>
        </w:rPr>
        <w:t>Значний внесок у сучасну фінансову теорію в контексті розробки єдиного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031B">
        <w:rPr>
          <w:rFonts w:ascii="Times New Roman" w:hAnsi="Times New Roman"/>
          <w:sz w:val="28"/>
          <w:szCs w:val="28"/>
          <w:lang w:val="uk-UA"/>
        </w:rPr>
        <w:t xml:space="preserve">підходу до управління економікою на основі поняття </w:t>
      </w:r>
      <w:r>
        <w:rPr>
          <w:rFonts w:ascii="Times New Roman" w:hAnsi="Times New Roman"/>
          <w:sz w:val="28"/>
          <w:szCs w:val="28"/>
          <w:lang w:val="uk-UA"/>
        </w:rPr>
        <w:t xml:space="preserve">спекулятивних операцій </w:t>
      </w:r>
      <w:r w:rsidRPr="00FB031B">
        <w:rPr>
          <w:rFonts w:ascii="Times New Roman" w:hAnsi="Times New Roman"/>
          <w:sz w:val="28"/>
          <w:szCs w:val="28"/>
          <w:lang w:val="uk-UA"/>
        </w:rPr>
        <w:t xml:space="preserve">було зроблено такими західними науковцями, як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Ю.Брігхем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Дж.К.Ван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Хорн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031B">
        <w:rPr>
          <w:rFonts w:ascii="Times New Roman" w:hAnsi="Times New Roman"/>
          <w:sz w:val="28"/>
          <w:szCs w:val="28"/>
          <w:lang w:val="uk-UA"/>
        </w:rPr>
        <w:t xml:space="preserve">Л.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Гапенскі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А. Кульман,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Дж.Г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Сігел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Е.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Хелферт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>, російськими дослідниками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031B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Сенчаговим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І.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Балабановим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В.Івантером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>, В. Ковальовим та українськими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031B">
        <w:rPr>
          <w:rFonts w:ascii="Times New Roman" w:hAnsi="Times New Roman"/>
          <w:sz w:val="28"/>
          <w:szCs w:val="28"/>
          <w:lang w:val="uk-UA"/>
        </w:rPr>
        <w:t xml:space="preserve">економістами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М.Артус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М.Буряком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О.Ковалюком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С.Льовочкіним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В.Опаріним</w:t>
      </w:r>
      <w:proofErr w:type="spellEnd"/>
      <w:r w:rsidRPr="00FB031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031B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FB031B">
        <w:rPr>
          <w:rFonts w:ascii="Times New Roman" w:hAnsi="Times New Roman"/>
          <w:sz w:val="28"/>
          <w:szCs w:val="28"/>
          <w:lang w:val="uk-UA"/>
        </w:rPr>
        <w:t>Федосовим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581E7E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C42D3">
        <w:rPr>
          <w:rFonts w:ascii="Times New Roman" w:hAnsi="Times New Roman"/>
          <w:b/>
          <w:sz w:val="28"/>
          <w:szCs w:val="28"/>
          <w:lang w:val="uk-UA"/>
        </w:rPr>
        <w:t>Предметом дослідження</w:t>
      </w:r>
      <w:r w:rsidRPr="00581E7E">
        <w:rPr>
          <w:rFonts w:ascii="Times New Roman" w:hAnsi="Times New Roman"/>
          <w:sz w:val="28"/>
          <w:szCs w:val="28"/>
          <w:lang w:val="uk-UA"/>
        </w:rPr>
        <w:t xml:space="preserve"> є спекуляції на міжнародних ринках, </w:t>
      </w:r>
      <w:r w:rsidRPr="005C42D3">
        <w:rPr>
          <w:rFonts w:ascii="Times New Roman" w:hAnsi="Times New Roman"/>
          <w:b/>
          <w:sz w:val="28"/>
          <w:szCs w:val="28"/>
          <w:lang w:val="uk-UA"/>
        </w:rPr>
        <w:t xml:space="preserve">об’єкт дослідження </w:t>
      </w:r>
      <w:r w:rsidRPr="00581E7E">
        <w:rPr>
          <w:rFonts w:ascii="Times New Roman" w:hAnsi="Times New Roman"/>
          <w:sz w:val="28"/>
          <w:szCs w:val="28"/>
          <w:lang w:val="uk-UA"/>
        </w:rPr>
        <w:t xml:space="preserve">– вплив спекулятивних операцій на міжнародну економіку. </w:t>
      </w:r>
    </w:p>
    <w:p w:rsidR="004177D9" w:rsidRPr="00581E7E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C42D3">
        <w:rPr>
          <w:rFonts w:ascii="Times New Roman" w:hAnsi="Times New Roman"/>
          <w:b/>
          <w:sz w:val="28"/>
          <w:szCs w:val="28"/>
          <w:lang w:val="uk-UA"/>
        </w:rPr>
        <w:t>Метою дослідження</w:t>
      </w:r>
      <w:r w:rsidRPr="00581E7E">
        <w:rPr>
          <w:rFonts w:ascii="Times New Roman" w:hAnsi="Times New Roman"/>
          <w:sz w:val="28"/>
          <w:szCs w:val="28"/>
          <w:lang w:val="uk-UA"/>
        </w:rPr>
        <w:t xml:space="preserve"> є встановлення ролі спекулятивних операцій на функціонування міжнародних економічних процесів.</w:t>
      </w:r>
    </w:p>
    <w:p w:rsidR="004177D9" w:rsidRPr="00FB031B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1E7E">
        <w:rPr>
          <w:rFonts w:ascii="Times New Roman" w:hAnsi="Times New Roman"/>
          <w:sz w:val="28"/>
          <w:szCs w:val="28"/>
          <w:lang w:val="uk-UA"/>
        </w:rPr>
        <w:t xml:space="preserve">Відповідно до поставленої мети вирішувались такі основні </w:t>
      </w:r>
      <w:r w:rsidRPr="00FB031B">
        <w:rPr>
          <w:rFonts w:ascii="Times New Roman" w:hAnsi="Times New Roman"/>
          <w:b/>
          <w:sz w:val="28"/>
          <w:szCs w:val="28"/>
          <w:lang w:val="uk-UA"/>
        </w:rPr>
        <w:t>завдання:</w:t>
      </w:r>
    </w:p>
    <w:p w:rsidR="004177D9" w:rsidRPr="00581E7E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дати поняття спекуляції</w:t>
      </w:r>
      <w:r w:rsidRPr="00581E7E">
        <w:rPr>
          <w:rFonts w:ascii="Times New Roman" w:hAnsi="Times New Roman"/>
          <w:sz w:val="28"/>
          <w:szCs w:val="28"/>
          <w:lang w:val="uk-UA"/>
        </w:rPr>
        <w:t>;</w:t>
      </w:r>
    </w:p>
    <w:p w:rsidR="004177D9" w:rsidRPr="00581E7E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1E7E">
        <w:rPr>
          <w:rFonts w:ascii="Times New Roman" w:hAnsi="Times New Roman"/>
          <w:sz w:val="28"/>
          <w:szCs w:val="28"/>
          <w:lang w:val="uk-UA"/>
        </w:rPr>
        <w:t xml:space="preserve">- вивчити особливості </w:t>
      </w:r>
      <w:r>
        <w:rPr>
          <w:rFonts w:ascii="Times New Roman" w:hAnsi="Times New Roman"/>
          <w:sz w:val="28"/>
          <w:szCs w:val="28"/>
          <w:lang w:val="uk-UA"/>
        </w:rPr>
        <w:t>класифікації спекулятивних операцій</w:t>
      </w:r>
      <w:r w:rsidRPr="00581E7E">
        <w:rPr>
          <w:rFonts w:ascii="Times New Roman" w:hAnsi="Times New Roman"/>
          <w:sz w:val="28"/>
          <w:szCs w:val="28"/>
          <w:lang w:val="uk-UA"/>
        </w:rPr>
        <w:t>;</w:t>
      </w:r>
    </w:p>
    <w:p w:rsidR="004177D9" w:rsidRPr="00581E7E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581E7E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proofErr w:type="spellStart"/>
      <w:r w:rsidRPr="00581E7E">
        <w:rPr>
          <w:rFonts w:ascii="Times New Roman" w:hAnsi="Times New Roman"/>
          <w:sz w:val="28"/>
          <w:szCs w:val="28"/>
          <w:lang w:val="uk-UA"/>
        </w:rPr>
        <w:t>сучаний</w:t>
      </w:r>
      <w:proofErr w:type="spellEnd"/>
      <w:r w:rsidRPr="00581E7E">
        <w:rPr>
          <w:rFonts w:ascii="Times New Roman" w:hAnsi="Times New Roman"/>
          <w:sz w:val="28"/>
          <w:szCs w:val="28"/>
          <w:lang w:val="uk-UA"/>
        </w:rPr>
        <w:t xml:space="preserve"> стан </w:t>
      </w:r>
      <w:r>
        <w:rPr>
          <w:rFonts w:ascii="Times New Roman" w:hAnsi="Times New Roman"/>
          <w:sz w:val="28"/>
          <w:szCs w:val="28"/>
          <w:lang w:val="uk-UA"/>
        </w:rPr>
        <w:t>спекулятивних операцій в міжнародній економічній системі</w:t>
      </w:r>
      <w:r w:rsidRPr="00581E7E">
        <w:rPr>
          <w:rFonts w:ascii="Times New Roman" w:hAnsi="Times New Roman"/>
          <w:sz w:val="28"/>
          <w:szCs w:val="28"/>
          <w:lang w:val="uk-UA"/>
        </w:rPr>
        <w:t>;</w:t>
      </w:r>
    </w:p>
    <w:p w:rsidR="004177D9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1E7E">
        <w:rPr>
          <w:rFonts w:ascii="Times New Roman" w:hAnsi="Times New Roman"/>
          <w:sz w:val="28"/>
          <w:szCs w:val="28"/>
          <w:lang w:val="uk-UA"/>
        </w:rPr>
        <w:t xml:space="preserve">- провести аналіз проблем та перспектив </w:t>
      </w:r>
      <w:r>
        <w:rPr>
          <w:rFonts w:ascii="Times New Roman" w:hAnsi="Times New Roman"/>
          <w:sz w:val="28"/>
          <w:szCs w:val="28"/>
          <w:lang w:val="uk-UA"/>
        </w:rPr>
        <w:t>впливу на міжнародні спекулятивні операції</w:t>
      </w:r>
      <w:r w:rsidRPr="00581E7E"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4177D9" w:rsidRDefault="004177D9" w:rsidP="004177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Курсова робота </w:t>
      </w:r>
      <w:r w:rsidRPr="00E2242A">
        <w:rPr>
          <w:rFonts w:ascii="Times New Roman" w:hAnsi="Times New Roman"/>
          <w:bCs/>
          <w:sz w:val="28"/>
          <w:szCs w:val="28"/>
          <w:lang w:val="uk-UA"/>
        </w:rPr>
        <w:t xml:space="preserve">має наступну </w:t>
      </w:r>
      <w:r w:rsidRPr="00222035">
        <w:rPr>
          <w:rFonts w:ascii="Times New Roman" w:hAnsi="Times New Roman"/>
          <w:b/>
          <w:bCs/>
          <w:sz w:val="28"/>
          <w:szCs w:val="28"/>
          <w:lang w:val="uk-UA"/>
        </w:rPr>
        <w:t>структуру</w:t>
      </w:r>
      <w:r w:rsidRPr="00E2242A">
        <w:rPr>
          <w:rFonts w:ascii="Times New Roman" w:hAnsi="Times New Roman"/>
          <w:bCs/>
          <w:sz w:val="28"/>
          <w:szCs w:val="28"/>
          <w:lang w:val="uk-UA"/>
        </w:rPr>
        <w:t>: вступ, три розділи та висновки до них, загальні висновки по темі дослідження, список використаної літератури.</w:t>
      </w:r>
      <w:bookmarkStart w:id="7" w:name="_GoBack"/>
      <w:bookmarkEnd w:id="7"/>
    </w:p>
    <w:p w:rsidR="004177D9" w:rsidRPr="00311DF6" w:rsidRDefault="004177D9" w:rsidP="004177D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77D9" w:rsidRDefault="004177D9" w:rsidP="004177D9">
      <w:pPr>
        <w:pStyle w:val="1"/>
        <w:rPr>
          <w:lang w:val="uk-UA"/>
        </w:rPr>
      </w:pPr>
      <w:bookmarkStart w:id="8" w:name="_Toc503773584"/>
      <w:r w:rsidRPr="004177D9">
        <w:rPr>
          <w:lang w:val="ru-RU"/>
        </w:rPr>
        <w:br w:type="page"/>
      </w:r>
      <w:r w:rsidRPr="00311DF6">
        <w:lastRenderedPageBreak/>
        <w:t>СПИСОК ВИКОРИСТАНИХ ДЖЕРЕЛ</w:t>
      </w:r>
      <w:bookmarkEnd w:id="8"/>
    </w:p>
    <w:p w:rsidR="004177D9" w:rsidRPr="00DB1EDC" w:rsidRDefault="004177D9" w:rsidP="004177D9">
      <w:pPr>
        <w:rPr>
          <w:lang w:val="uk-UA" w:eastAsia="ru-RU"/>
        </w:rPr>
      </w:pP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Anderson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B.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Public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Welfare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Indianapolis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1979.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Ferguson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N.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Ascent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Money: A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History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N.Ferguson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L.: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Penguin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Press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2012. – 448 p.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Fleming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M.H.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Shadow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M.H.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Fleming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J.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G.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Farrel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Affairs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2000.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532 (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Spring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). – Р. 64–89.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Goldsmith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Structure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Haven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Yale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Press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1969. – P. 128.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Greenwood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Greenwood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D.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Scharfstein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Perspectives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–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Volume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27,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Number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Spring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2013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Pages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3 – 28.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Hall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Macrotheory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Recession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1990-1991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American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Reviev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1993.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Hayek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F.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Maintenance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Capital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August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1934,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chap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3.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Kindleberger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C.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Manias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Panics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Crashes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C.Kindleberger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Macmillan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2005. – 355 p.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Schumpeter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might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right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/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Levine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Policy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Research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Working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1083.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Bank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1993. – 49 p.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Kose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Ayhan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Global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business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cycles:convergence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decoupling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?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National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bureau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research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Ayhan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Kose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Otro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E.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Prasad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Cambridge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MA 02138.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October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2008. – 53 р.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Kregel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J.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Natural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Instability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J.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Kregel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IDEAs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Working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Papers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Series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– 2009. – № 4.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Lamfalussy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A.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Alexandre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Lamfalussy's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comments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Press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A.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Lamafalussy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- 2000.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Thursday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15.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Levine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Theory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Evidence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Levine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NBER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Working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10766.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September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2004. – 118 p.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Levine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? /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Levine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Federal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Reserve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bank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Louis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– 2003. – № 07/08. – P.36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lastRenderedPageBreak/>
        <w:t>Levine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Stock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Banks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Levine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S.Zervos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American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Review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1998.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88 (3). – P.537–558.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Lietaer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B.A.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Future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Money: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Creating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Wealth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Wiser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B.A.Lietar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London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Centure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2001. – 384 p.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Lipsky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Remarks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Bank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Mexico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Conference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«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Challenges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Strategies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Promoting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Mexico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Mexico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October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19, 2009.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Lone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J. H.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stock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Theories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praktiks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J. H.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Lone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Hamilton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–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Holliwood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Arwin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, 1973, ХШ, 34p.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Mathews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K.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Why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study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complexity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sciences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social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science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K.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M.Mathews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C.White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R.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G.Long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Human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relations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1999. – № 52.-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52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4. – Р. 439-462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McKinsey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&amp;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http://www.mckinsey.com/insights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Meirelles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Y.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Bretton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Woods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II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way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out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?: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Speech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18th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Frankfurt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European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Banking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Congress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Frankfurt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21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November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2008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].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Miller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Miller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Applied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Corporate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1998.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11(3). P.14.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Minsky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H.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Stabilizing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Unstable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H.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Minsky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York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: McGraw-Hill,2008. – 350 p.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Minsky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H.The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Instability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Hypothesis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Interpretation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Keynes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Alternative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«Standard»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Theory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H.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Minsky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Nebraska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Business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1977.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16.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1. – P. 5–16.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Monetary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Policy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report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Chairman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Ben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S.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Bernanke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Report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Congress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Before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Committee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Services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U.S.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Representatives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Washington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D.C.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July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17, 2013 /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6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http://www.federalreserve.gov/monetarypolicy/mpr_default.htm</w:t>
        </w:r>
      </w:hyperlink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>MSCI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http://www.msci.com/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http://www.msci.com</w:t>
        </w:r>
      </w:hyperlink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lastRenderedPageBreak/>
        <w:t>Muller-Benedict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V.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Chaos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und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Selbstorganisation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Neue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theoretische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Ans?tze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Sozial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Wissenschaften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V.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Muller-Benedict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Historical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Social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Research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 1996. – S. 6–93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 NYSE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Euronext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European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Equities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Listings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-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Mode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access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URL: </w:t>
      </w:r>
      <w:hyperlink r:id="rId9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https://europeanequities.nyx.com/listings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Pagano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M.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M.Pagano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European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Review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–1993.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37.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2/3.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Recommendations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European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Council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Europe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global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information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society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0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http://www.ispo.cec.be/infosoc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Robinson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J.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Generalization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General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Theory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J.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Robinson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Rate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Interest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Other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Essays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L.: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MacMillan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1952. – P.82. 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Sachs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Jeffrey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D.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Institutions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Matter,but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Not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Everything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role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geography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endowments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shouldn’t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underestimated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/ J. D.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Sachs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&amp;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2003.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June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– С.38-41.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Schoenmaker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D.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Prepared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CFS-IMF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Conference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―A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Stability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Framework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Europe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Managing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Soundness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Integrating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‖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D.Schoenmaker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Frankfurt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2008. – 26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Sept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Schroeder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S.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Defining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detecting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fragility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Zealand’s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experience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S.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Schroeder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Social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– 2009. – Vol.36. – № 3. – Р. 287–307.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Stark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D.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Ambiguous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Assets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Uncertain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Environments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Heterarchy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Postsocialist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Firms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D.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Stark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]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Stiglitz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J.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Credit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rationing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imperfect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information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J.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Stiglitz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A.Weiss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American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Review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1981.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71. – № 3. – Р. 393–410.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TABB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Group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1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http://www.tabbgroup.com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Tentori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D.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Sudamerica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e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l’orizzonte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di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un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nuovo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ordine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mondiale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D.Tentori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2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http://temi.repubblica.it/limes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 xml:space="preserve"> /ilsudamerica-e-l%E2%80%99orizzonte-di-un-nuovo-ordine-mondiale/30904.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Financial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Report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2012//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Forum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Geneva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Switzerland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Forum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USA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York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USA. – 424 р. </w:t>
      </w:r>
      <w:r w:rsidRPr="00DE4C5B">
        <w:rPr>
          <w:rFonts w:ascii="Times New Roman" w:hAnsi="Times New Roman"/>
          <w:sz w:val="28"/>
          <w:szCs w:val="28"/>
          <w:lang w:val="uk-UA"/>
        </w:rPr>
        <w:lastRenderedPageBreak/>
        <w:t>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3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http://www3.weforum.org/docs/WEF_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 xml:space="preserve"> FinancialDevelopmentReport_2012.pdf. 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Heritage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Foundation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4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www.heritage.org/Index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2050.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Beyond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BRICs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A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broader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look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emerging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prospects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5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http://www.pwc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gx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/world-2050/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beyond-the-brics.jhtml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Triennial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Central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Bank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Survey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Foreign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exchange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exchange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derivatives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market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activity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2013 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Bank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Settlements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September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, 2013. 24 p. URL: http://www.bis.org/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publ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/rpfx13.htm. (дата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обращения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15.05.2015).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Wall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Street’s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Biggest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Geniuses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Reveal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Their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Favorite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Charts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2012 [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].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Available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6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http://www.businessinsider.com/th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 xml:space="preserve"> most-importantcharts-of-2012-2012-12?op=1.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Булкот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О. Валютна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мультиполярність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у системі глобальних фінансів // Вісник Київського національного університету ім. Тараса Шевченка. 2013.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Вып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12 (153). С. 6–10 (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Bulkot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O.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Valjutna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mul’tipoljarnіst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’ u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sistemі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global’nih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fіnansіv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Vіsnik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Kiїvs’kogo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nacіonal’nogo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unіversitetu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іm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Tarasa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Shevchenka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2013.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Vyp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12 (153). S. 6–10).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Васильев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В.Е.,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Рындина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И.В.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Методологические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подходы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пониманию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сущности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и роли валютного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рынка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экономике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Fundamental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research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sciences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2014.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 9.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 382-386 (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Vasil’ev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V.E.,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Ryndina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I.V.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Metodologicheskie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podhody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k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ponimaniju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sushhnosti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i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roli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valjutnogo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rynka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v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jekonomike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Fundamental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research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sciences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2014.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 9.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S. 382-386)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Заровная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Л.В.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Экономико-правовые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долговой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политики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странах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Европейского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союза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 контексте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долгового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кризиса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Греции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Научные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гуманитарных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исследований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2012.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C5B">
        <w:rPr>
          <w:rFonts w:ascii="Times New Roman" w:hAnsi="Times New Roman"/>
          <w:sz w:val="28"/>
          <w:szCs w:val="28"/>
          <w:lang w:val="uk-UA"/>
        </w:rPr>
        <w:t>185-191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Крюков П.А.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Торговые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операции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валютном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рынке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Forex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финансовые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инвестиции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учета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финансов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2014.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№3 (15).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C5B">
        <w:rPr>
          <w:rFonts w:ascii="Times New Roman" w:hAnsi="Times New Roman"/>
          <w:sz w:val="28"/>
          <w:szCs w:val="28"/>
          <w:lang w:val="uk-UA"/>
        </w:rPr>
        <w:t>51–55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lastRenderedPageBreak/>
        <w:t xml:space="preserve">Малахова Т.С.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Глобальный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экономический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кризис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трансформационные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процессы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мировой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валютно-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финансовой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системе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Научный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журнал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КубГАУ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2014.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>№95 (01).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Мискин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А.С. ТНК и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интернационализация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мирового валютного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рынка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Вестник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Томского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государственного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университета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2006.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№292.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 145-147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Мырзин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К.С.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Терминологические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подходы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определению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Forex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Вестн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Том.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гос.ун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-та.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2011.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№352.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 157-159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Нigh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Frequency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Trading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—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Way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access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7" w:history="1">
        <w:r w:rsidRPr="00DE4C5B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http://www.highfrequencytraders</w:t>
        </w:r>
      </w:hyperlink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com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>. , с.65.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Поддубный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Е.М., Солонина С.В.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Глобализация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валютного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рынка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системе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мировых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финансовых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отношений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Terra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economicus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2010.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№4.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Т.8.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Ч.3.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C5B">
        <w:rPr>
          <w:rFonts w:ascii="Times New Roman" w:hAnsi="Times New Roman"/>
          <w:sz w:val="28"/>
          <w:szCs w:val="28"/>
          <w:lang w:val="uk-UA"/>
        </w:rPr>
        <w:t>201–204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4C5B">
        <w:rPr>
          <w:rFonts w:ascii="Times New Roman" w:hAnsi="Times New Roman"/>
          <w:sz w:val="28"/>
          <w:szCs w:val="28"/>
          <w:lang w:val="uk-UA"/>
        </w:rPr>
        <w:t xml:space="preserve">Приходько Ю. А.,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Линкевич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Е. Ф.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Финансовые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дисбалансы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внутри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зоны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евро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причины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пути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преодоления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Актуальные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гуманитарных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естественных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наук.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2013.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№6.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C5B">
        <w:rPr>
          <w:rFonts w:ascii="Times New Roman" w:hAnsi="Times New Roman"/>
          <w:sz w:val="28"/>
          <w:szCs w:val="28"/>
          <w:lang w:val="uk-UA"/>
        </w:rPr>
        <w:t>163-167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Сапир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Ж.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Кризис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еврозоны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перспективы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евро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прогнозирования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2011.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№3.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 3-18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numPr>
          <w:ilvl w:val="0"/>
          <w:numId w:val="27"/>
        </w:numPr>
        <w:spacing w:after="16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Хаустова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В.Е.,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Громыко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Н.К.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Валютная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система и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мировые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C5B">
        <w:rPr>
          <w:rFonts w:ascii="Times New Roman" w:hAnsi="Times New Roman"/>
          <w:sz w:val="28"/>
          <w:szCs w:val="28"/>
          <w:lang w:val="uk-UA"/>
        </w:rPr>
        <w:t>кризисы</w:t>
      </w:r>
      <w:proofErr w:type="spellEnd"/>
      <w:r w:rsidRPr="00DE4C5B">
        <w:rPr>
          <w:rFonts w:ascii="Times New Roman" w:hAnsi="Times New Roman"/>
          <w:sz w:val="28"/>
          <w:szCs w:val="28"/>
          <w:lang w:val="uk-UA"/>
        </w:rPr>
        <w:t xml:space="preserve"> // Проблеми економіки.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2010.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E4C5B">
        <w:rPr>
          <w:rFonts w:ascii="Times New Roman" w:hAnsi="Times New Roman"/>
          <w:sz w:val="28"/>
          <w:szCs w:val="28"/>
          <w:lang w:val="uk-UA"/>
        </w:rPr>
        <w:t xml:space="preserve">№ 4.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E4C5B">
        <w:rPr>
          <w:rFonts w:ascii="Times New Roman" w:hAnsi="Times New Roman"/>
          <w:sz w:val="28"/>
          <w:szCs w:val="28"/>
          <w:lang w:val="uk-UA"/>
        </w:rPr>
        <w:t>С. 9–12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7D9" w:rsidRPr="00DE4C5B" w:rsidRDefault="004177D9" w:rsidP="004177D9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7D9" w:rsidRPr="00002370" w:rsidRDefault="004177D9" w:rsidP="004177D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00D6C" w:rsidRDefault="00800D6C"/>
    <w:sectPr w:rsidR="00800D6C" w:rsidSect="00B601A8">
      <w:headerReference w:type="default" r:id="rId1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90" w:rsidRDefault="004177D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0D3590" w:rsidRDefault="004177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986FE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512CB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60E8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B84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F40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64687B"/>
    <w:multiLevelType w:val="hybridMultilevel"/>
    <w:tmpl w:val="092C323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0814094F"/>
    <w:multiLevelType w:val="multilevel"/>
    <w:tmpl w:val="7A9C25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0A222AAF"/>
    <w:multiLevelType w:val="hybridMultilevel"/>
    <w:tmpl w:val="9387D90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17C7925"/>
    <w:multiLevelType w:val="hybridMultilevel"/>
    <w:tmpl w:val="5E6C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F5DFB"/>
    <w:multiLevelType w:val="multilevel"/>
    <w:tmpl w:val="433604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C7524C"/>
    <w:multiLevelType w:val="hybridMultilevel"/>
    <w:tmpl w:val="00E26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591616"/>
    <w:multiLevelType w:val="multilevel"/>
    <w:tmpl w:val="21120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29392A07"/>
    <w:multiLevelType w:val="hybridMultilevel"/>
    <w:tmpl w:val="29D2B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671A2F"/>
    <w:multiLevelType w:val="hybridMultilevel"/>
    <w:tmpl w:val="759C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A16F10"/>
    <w:multiLevelType w:val="hybridMultilevel"/>
    <w:tmpl w:val="F23EDA74"/>
    <w:lvl w:ilvl="0" w:tplc="C9E025A0">
      <w:start w:val="1"/>
      <w:numFmt w:val="decimal"/>
      <w:lvlText w:val="%1."/>
      <w:lvlJc w:val="left"/>
      <w:pPr>
        <w:ind w:left="1759" w:hanging="975"/>
      </w:pPr>
      <w:rPr>
        <w:rFonts w:cs="Times New Roman" w:hint="default"/>
        <w:b w:val="0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5" w15:restartNumberingAfterBreak="0">
    <w:nsid w:val="3CDE5C0E"/>
    <w:multiLevelType w:val="hybridMultilevel"/>
    <w:tmpl w:val="943C2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5B28D9"/>
    <w:multiLevelType w:val="hybridMultilevel"/>
    <w:tmpl w:val="B1602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BF4061"/>
    <w:multiLevelType w:val="hybridMultilevel"/>
    <w:tmpl w:val="53A0AA92"/>
    <w:lvl w:ilvl="0" w:tplc="39E80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EB6330"/>
    <w:multiLevelType w:val="hybridMultilevel"/>
    <w:tmpl w:val="FA66D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ED4A30"/>
    <w:multiLevelType w:val="hybridMultilevel"/>
    <w:tmpl w:val="90B02C4A"/>
    <w:lvl w:ilvl="0" w:tplc="D38C203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51AB6649"/>
    <w:multiLevelType w:val="hybridMultilevel"/>
    <w:tmpl w:val="358C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6E23"/>
    <w:multiLevelType w:val="hybridMultilevel"/>
    <w:tmpl w:val="1E342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1F6E53"/>
    <w:multiLevelType w:val="hybridMultilevel"/>
    <w:tmpl w:val="614C3B40"/>
    <w:lvl w:ilvl="0" w:tplc="56F0C1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342816"/>
    <w:multiLevelType w:val="hybridMultilevel"/>
    <w:tmpl w:val="FB268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AB37A2"/>
    <w:multiLevelType w:val="hybridMultilevel"/>
    <w:tmpl w:val="7BBC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C06787"/>
    <w:multiLevelType w:val="hybridMultilevel"/>
    <w:tmpl w:val="C60A0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0315A3"/>
    <w:multiLevelType w:val="hybridMultilevel"/>
    <w:tmpl w:val="6720AB22"/>
    <w:lvl w:ilvl="0" w:tplc="89366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21"/>
  </w:num>
  <w:num w:numId="5">
    <w:abstractNumId w:val="16"/>
  </w:num>
  <w:num w:numId="6">
    <w:abstractNumId w:val="15"/>
  </w:num>
  <w:num w:numId="7">
    <w:abstractNumId w:val="18"/>
  </w:num>
  <w:num w:numId="8">
    <w:abstractNumId w:val="12"/>
  </w:num>
  <w:num w:numId="9">
    <w:abstractNumId w:val="5"/>
  </w:num>
  <w:num w:numId="10">
    <w:abstractNumId w:val="13"/>
  </w:num>
  <w:num w:numId="11">
    <w:abstractNumId w:val="24"/>
  </w:num>
  <w:num w:numId="12">
    <w:abstractNumId w:val="8"/>
  </w:num>
  <w:num w:numId="13">
    <w:abstractNumId w:val="6"/>
  </w:num>
  <w:num w:numId="14">
    <w:abstractNumId w:val="26"/>
  </w:num>
  <w:num w:numId="15">
    <w:abstractNumId w:val="19"/>
  </w:num>
  <w:num w:numId="16">
    <w:abstractNumId w:val="7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4"/>
  </w:num>
  <w:num w:numId="24">
    <w:abstractNumId w:val="17"/>
  </w:num>
  <w:num w:numId="25">
    <w:abstractNumId w:val="22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FD"/>
    <w:rsid w:val="004177D9"/>
    <w:rsid w:val="00800D6C"/>
    <w:rsid w:val="00A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C865"/>
  <w15:chartTrackingRefBased/>
  <w15:docId w15:val="{8E9FE49D-F889-4656-8F6D-3663684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177D9"/>
    <w:pPr>
      <w:keepNext/>
      <w:keepLines/>
      <w:spacing w:before="480" w:after="0"/>
      <w:jc w:val="center"/>
      <w:outlineLvl w:val="0"/>
    </w:pPr>
    <w:rPr>
      <w:rFonts w:ascii="Times New Roman" w:hAnsi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4177D9"/>
    <w:pPr>
      <w:keepNext/>
      <w:keepLines/>
      <w:spacing w:before="200" w:after="0"/>
      <w:jc w:val="center"/>
      <w:outlineLvl w:val="1"/>
    </w:pPr>
    <w:rPr>
      <w:rFonts w:ascii="Times New Roman" w:hAnsi="Times New Roman"/>
      <w:b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4177D9"/>
    <w:pPr>
      <w:keepNext/>
      <w:spacing w:before="240" w:after="60"/>
      <w:jc w:val="center"/>
      <w:outlineLvl w:val="2"/>
    </w:pPr>
    <w:rPr>
      <w:rFonts w:ascii="Times New Roman" w:hAnsi="Times New Roman"/>
      <w:b/>
      <w:sz w:val="26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4177D9"/>
    <w:pPr>
      <w:keepNext/>
      <w:spacing w:before="240" w:after="60"/>
      <w:outlineLvl w:val="3"/>
    </w:pPr>
    <w:rPr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177D9"/>
    <w:pPr>
      <w:spacing w:before="240" w:after="60"/>
      <w:outlineLvl w:val="4"/>
    </w:pPr>
    <w:rPr>
      <w:b/>
      <w:i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77D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77D9"/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77D9"/>
    <w:rPr>
      <w:rFonts w:ascii="Times New Roman" w:eastAsia="Calibri" w:hAnsi="Times New Roman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4177D9"/>
    <w:rPr>
      <w:rFonts w:ascii="Calibri" w:eastAsia="Calibri" w:hAnsi="Calibri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4177D9"/>
    <w:rPr>
      <w:rFonts w:ascii="Calibri" w:eastAsia="Calibri" w:hAnsi="Calibri" w:cs="Times New Roman"/>
      <w:b/>
      <w:i/>
      <w:sz w:val="26"/>
      <w:szCs w:val="20"/>
    </w:rPr>
  </w:style>
  <w:style w:type="paragraph" w:styleId="a3">
    <w:name w:val="Balloon Text"/>
    <w:basedOn w:val="a"/>
    <w:link w:val="a4"/>
    <w:uiPriority w:val="99"/>
    <w:semiHidden/>
    <w:rsid w:val="004177D9"/>
    <w:pPr>
      <w:spacing w:after="0" w:line="240" w:lineRule="auto"/>
    </w:pPr>
    <w:rPr>
      <w:rFonts w:ascii="Tahoma" w:hAnsi="Tahoma"/>
      <w:sz w:val="16"/>
      <w:szCs w:val="20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D9"/>
    <w:rPr>
      <w:rFonts w:ascii="Tahoma" w:eastAsia="Calibri" w:hAnsi="Tahoma" w:cs="Times New Roman"/>
      <w:sz w:val="16"/>
      <w:szCs w:val="20"/>
      <w:lang w:eastAsia="ru-RU"/>
    </w:rPr>
  </w:style>
  <w:style w:type="table" w:styleId="a5">
    <w:name w:val="Table Grid"/>
    <w:basedOn w:val="a1"/>
    <w:uiPriority w:val="99"/>
    <w:rsid w:val="004177D9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177D9"/>
    <w:pPr>
      <w:ind w:left="720"/>
      <w:contextualSpacing/>
    </w:pPr>
  </w:style>
  <w:style w:type="paragraph" w:styleId="a7">
    <w:name w:val="header"/>
    <w:basedOn w:val="a"/>
    <w:link w:val="a8"/>
    <w:uiPriority w:val="99"/>
    <w:rsid w:val="004177D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77D9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177D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77D9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417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rsid w:val="004177D9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4177D9"/>
    <w:pPr>
      <w:spacing w:line="240" w:lineRule="auto"/>
    </w:pPr>
    <w:rPr>
      <w:sz w:val="20"/>
      <w:szCs w:val="20"/>
      <w:lang w:val="en-US"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77D9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4177D9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77D9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4177D9"/>
    <w:pPr>
      <w:numPr>
        <w:ilvl w:val="1"/>
      </w:numPr>
    </w:pPr>
    <w:rPr>
      <w:rFonts w:ascii="Times New Roman" w:hAnsi="Times New Roman"/>
      <w:i/>
      <w:spacing w:val="15"/>
      <w:sz w:val="24"/>
      <w:szCs w:val="20"/>
      <w:lang w:val="en-US" w:eastAsia="ru-RU"/>
    </w:rPr>
  </w:style>
  <w:style w:type="character" w:customStyle="1" w:styleId="af1">
    <w:name w:val="Подзаголовок Знак"/>
    <w:basedOn w:val="a0"/>
    <w:link w:val="af0"/>
    <w:uiPriority w:val="99"/>
    <w:rsid w:val="004177D9"/>
    <w:rPr>
      <w:rFonts w:ascii="Times New Roman" w:eastAsia="Calibri" w:hAnsi="Times New Roman" w:cs="Times New Roman"/>
      <w:i/>
      <w:spacing w:val="15"/>
      <w:sz w:val="24"/>
      <w:szCs w:val="20"/>
      <w:lang w:eastAsia="ru-RU"/>
    </w:rPr>
  </w:style>
  <w:style w:type="paragraph" w:styleId="af2">
    <w:name w:val="TOC Heading"/>
    <w:basedOn w:val="1"/>
    <w:next w:val="a"/>
    <w:uiPriority w:val="39"/>
    <w:qFormat/>
    <w:rsid w:val="004177D9"/>
    <w:pPr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iPriority w:val="39"/>
    <w:rsid w:val="004177D9"/>
    <w:pPr>
      <w:spacing w:after="100" w:line="240" w:lineRule="auto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99"/>
    <w:rsid w:val="004177D9"/>
    <w:pPr>
      <w:spacing w:after="100" w:line="240" w:lineRule="auto"/>
      <w:ind w:left="220"/>
    </w:pPr>
    <w:rPr>
      <w:rFonts w:ascii="Times New Roman" w:hAnsi="Times New Roman"/>
      <w:sz w:val="28"/>
    </w:rPr>
  </w:style>
  <w:style w:type="character" w:styleId="af3">
    <w:name w:val="Hyperlink"/>
    <w:uiPriority w:val="99"/>
    <w:rsid w:val="004177D9"/>
    <w:rPr>
      <w:rFonts w:cs="Times New Roman"/>
      <w:color w:val="0000FF"/>
      <w:u w:val="single"/>
    </w:rPr>
  </w:style>
  <w:style w:type="character" w:styleId="af4">
    <w:name w:val="Strong"/>
    <w:uiPriority w:val="99"/>
    <w:qFormat/>
    <w:rsid w:val="004177D9"/>
    <w:rPr>
      <w:rFonts w:cs="Times New Roman"/>
      <w:b/>
    </w:rPr>
  </w:style>
  <w:style w:type="paragraph" w:styleId="31">
    <w:name w:val="toc 3"/>
    <w:basedOn w:val="a"/>
    <w:next w:val="a"/>
    <w:autoRedefine/>
    <w:uiPriority w:val="99"/>
    <w:rsid w:val="004177D9"/>
    <w:pPr>
      <w:ind w:left="440"/>
    </w:pPr>
  </w:style>
  <w:style w:type="paragraph" w:customStyle="1" w:styleId="Default">
    <w:name w:val="Default"/>
    <w:uiPriority w:val="99"/>
    <w:rsid w:val="004177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417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77D9"/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uiPriority w:val="99"/>
    <w:rsid w:val="004177D9"/>
  </w:style>
  <w:style w:type="paragraph" w:customStyle="1" w:styleId="af5">
    <w:name w:val="Текстовый блок"/>
    <w:uiPriority w:val="99"/>
    <w:rsid w:val="004177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character" w:customStyle="1" w:styleId="A40">
    <w:name w:val="A4"/>
    <w:uiPriority w:val="99"/>
    <w:rsid w:val="004177D9"/>
    <w:rPr>
      <w:color w:val="000000"/>
      <w:sz w:val="22"/>
    </w:rPr>
  </w:style>
  <w:style w:type="paragraph" w:customStyle="1" w:styleId="Pa1">
    <w:name w:val="Pa1"/>
    <w:basedOn w:val="Default"/>
    <w:next w:val="Default"/>
    <w:uiPriority w:val="99"/>
    <w:rsid w:val="004177D9"/>
    <w:pPr>
      <w:spacing w:line="201" w:lineRule="atLeast"/>
    </w:pPr>
    <w:rPr>
      <w:rFonts w:ascii="Minion Pro" w:hAnsi="Minion Pro"/>
      <w:color w:val="auto"/>
    </w:rPr>
  </w:style>
  <w:style w:type="paragraph" w:styleId="af6">
    <w:name w:val="Date"/>
    <w:basedOn w:val="a"/>
    <w:next w:val="a"/>
    <w:link w:val="af7"/>
    <w:uiPriority w:val="99"/>
    <w:unhideWhenUsed/>
    <w:rsid w:val="004177D9"/>
  </w:style>
  <w:style w:type="character" w:customStyle="1" w:styleId="af7">
    <w:name w:val="Дата Знак"/>
    <w:basedOn w:val="a0"/>
    <w:link w:val="af6"/>
    <w:uiPriority w:val="99"/>
    <w:rsid w:val="004177D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i.com" TargetMode="External"/><Relationship Id="rId13" Type="http://schemas.openxmlformats.org/officeDocument/2006/relationships/hyperlink" Target="http://www3.weforum.org/docs/WEF_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ci.com/" TargetMode="External"/><Relationship Id="rId12" Type="http://schemas.openxmlformats.org/officeDocument/2006/relationships/hyperlink" Target="http://temi.repubblica.it/limes" TargetMode="External"/><Relationship Id="rId17" Type="http://schemas.openxmlformats.org/officeDocument/2006/relationships/hyperlink" Target="http://www.highfrequencytrad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inessinsider.com/t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ederalreserve.gov/monetarypolicy/mpr_default.htm" TargetMode="External"/><Relationship Id="rId11" Type="http://schemas.openxmlformats.org/officeDocument/2006/relationships/hyperlink" Target="http://www.tabbgroup.com" TargetMode="External"/><Relationship Id="rId5" Type="http://schemas.openxmlformats.org/officeDocument/2006/relationships/hyperlink" Target="http://www.mckinsey.com/insights" TargetMode="External"/><Relationship Id="rId15" Type="http://schemas.openxmlformats.org/officeDocument/2006/relationships/hyperlink" Target="http://www.pwc" TargetMode="External"/><Relationship Id="rId10" Type="http://schemas.openxmlformats.org/officeDocument/2006/relationships/hyperlink" Target="http://www.ispo.cec.be/infos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eanequities.nyx.com/listings" TargetMode="External"/><Relationship Id="rId14" Type="http://schemas.openxmlformats.org/officeDocument/2006/relationships/hyperlink" Target="http://www.heritage.org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1953</Words>
  <Characters>11134</Characters>
  <Application>Microsoft Office Word</Application>
  <DocSecurity>0</DocSecurity>
  <Lines>92</Lines>
  <Paragraphs>26</Paragraphs>
  <ScaleCrop>false</ScaleCrop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2019-06-27T08:49:00Z</dcterms:created>
  <dcterms:modified xsi:type="dcterms:W3CDTF">2019-06-27T08:50:00Z</dcterms:modified>
</cp:coreProperties>
</file>