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AC7B"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Исаев, Александр Юрьевич.</w:t>
      </w:r>
    </w:p>
    <w:p w14:paraId="5F43BB9B"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Рост и структура барьерных слоев MgO и YSZ для ориентированных пленок ВТСП : диссертация ... кандидата физико-математических наук : 01.04.07. - Воронеж, 1999. - 138 с.</w:t>
      </w:r>
    </w:p>
    <w:p w14:paraId="448109BE"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Оглавление диссертациикандидат физико-математических наук Исаев, Александр Юрьевич</w:t>
      </w:r>
    </w:p>
    <w:p w14:paraId="255F8F19"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ОГЛАВЛЕНИЕ</w:t>
      </w:r>
    </w:p>
    <w:p w14:paraId="5E017A16"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ВВЕДЕНИЕ</w:t>
      </w:r>
    </w:p>
    <w:p w14:paraId="79B58D2F"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ГЛАВА 1. ОРИЕНТИРОВАННЫЙ РОСТ ПЛЕНОК (ЛИТЕРАТУРНЫЙ ОБЗОР)</w:t>
      </w:r>
    </w:p>
    <w:p w14:paraId="44F63331"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1.1. Ориентированный рост на поверхности монокристаллов</w:t>
      </w:r>
    </w:p>
    <w:p w14:paraId="3416C707"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1.1.1. Общие закономерности сопряжения кристаллических решеток и ориентация пленок</w:t>
      </w:r>
    </w:p>
    <w:p w14:paraId="68DE246B"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1.1.2. Природа множественности ориентаций</w:t>
      </w:r>
    </w:p>
    <w:p w14:paraId="2D2804A6"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1.1.3. Пути подавления сопутствующих ориентаций</w:t>
      </w:r>
    </w:p>
    <w:p w14:paraId="73471DBB"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1.2. Ориентированный рост на неориентирующих аморфных подложках</w:t>
      </w:r>
    </w:p>
    <w:p w14:paraId="0A4C8F70"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1.2.1. Природа аксиальных текстур</w:t>
      </w:r>
    </w:p>
    <w:p w14:paraId="362782F2"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1.2.2. Искусственная эпитаксия</w:t>
      </w:r>
    </w:p>
    <w:p w14:paraId="24D74DCA"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1.2.3. Облучение растущей пленки пучком ионов с низкой энергией (1В АО-метод)</w:t>
      </w:r>
    </w:p>
    <w:p w14:paraId="72D009FC"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ЗАКЛЮЧЕНИЕ</w:t>
      </w:r>
    </w:p>
    <w:p w14:paraId="321BECF4"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ГЛАВА 2. СПОСОБЫ (МЕТОДЫ) ПОЛУЧЕНИЯ ПЛЕНОЧНЫХ</w:t>
      </w:r>
    </w:p>
    <w:p w14:paraId="745E0F66"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ОБРАЗЦОВ, МЕТОДЫ ИССЛЕДОВАНИЯ И МАТЕРИАЛЫ</w:t>
      </w:r>
    </w:p>
    <w:p w14:paraId="5781B630"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2.1. Методы нанесения пленок</w:t>
      </w:r>
    </w:p>
    <w:p w14:paraId="26372C47"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2.1.1. Термическое испарение</w:t>
      </w:r>
    </w:p>
    <w:p w14:paraId="2DAA554B"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2.1.2 Электронно-лучевое испарение</w:t>
      </w:r>
    </w:p>
    <w:p w14:paraId="7A96EC3E"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2.1.3. Лазерное испарение</w:t>
      </w:r>
    </w:p>
    <w:p w14:paraId="0AF20A1A"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2.1.4. Осаждение тонких пленок при одновременном облучении подложки ионным пучком (1ВАЕ))</w:t>
      </w:r>
    </w:p>
    <w:p w14:paraId="027A396D"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Мишень</w:t>
      </w:r>
    </w:p>
    <w:p w14:paraId="25F9C3FF"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Держатель подложек</w:t>
      </w:r>
    </w:p>
    <w:p w14:paraId="79E0C65B"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Параметры осаждения</w:t>
      </w:r>
    </w:p>
    <w:p w14:paraId="3F269528"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2.2 Методы исследования</w:t>
      </w:r>
    </w:p>
    <w:p w14:paraId="4635025D"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2.2.1 Просвечивающая электронная микроскопия</w:t>
      </w:r>
    </w:p>
    <w:p w14:paraId="7AA873A9"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2.2.2. Подготовка образцов для просвечивающей электронной микроскопии</w:t>
      </w:r>
    </w:p>
    <w:p w14:paraId="2B6A1E58"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Подготовка "plan view" образцов</w:t>
      </w:r>
    </w:p>
    <w:p w14:paraId="211AEADD"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lastRenderedPageBreak/>
        <w:t>Подготовка "cross-section" образца</w:t>
      </w:r>
    </w:p>
    <w:p w14:paraId="20B0F269"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2.2.3. Рентгеновская дифракция</w:t>
      </w:r>
    </w:p>
    <w:p w14:paraId="3F505C9E"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9-29-сканирование</w:t>
      </w:r>
    </w:p>
    <w:p w14:paraId="08FDF544"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а-сканирование</w:t>
      </w:r>
    </w:p>
    <w:p w14:paraId="11B6D958"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ф-сканирование</w:t>
      </w:r>
    </w:p>
    <w:p w14:paraId="2EBCBBD1"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Измерение биаксиальной текстуры с помощью 4-х кругового дифрактометра</w:t>
      </w:r>
    </w:p>
    <w:p w14:paraId="197E1945"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2.2.4. Исследование сверхпроводящих свойств</w:t>
      </w:r>
    </w:p>
    <w:p w14:paraId="159C2577"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2.3. Используемые материалы</w:t>
      </w:r>
    </w:p>
    <w:p w14:paraId="2255FEF4"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2.3.1. Подложки</w:t>
      </w:r>
    </w:p>
    <w:p w14:paraId="58229D5F"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3.2.2. Электрохимическая полировка никелевых лент</w:t>
      </w:r>
    </w:p>
    <w:p w14:paraId="42FC3155"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2.3.3. Оксид циркония, стабилизированный оксидом иттрия (YSZ)</w:t>
      </w:r>
    </w:p>
    <w:p w14:paraId="5FFD7254"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2.3.4. YBa2Cu307-x</w:t>
      </w:r>
    </w:p>
    <w:p w14:paraId="1917E24D"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ГЛАВА 3. РЕЗУЛЬТАТЫ ИССЛЕДОВАНИЯ И ИХ ОБСУЖДЕНИЕ</w:t>
      </w:r>
    </w:p>
    <w:p w14:paraId="44515906"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ЗЛ. Ориентация, морфология и субструктура пленок MgO на поверхностях (001) и (11 l)Si</w:t>
      </w:r>
    </w:p>
    <w:p w14:paraId="7FD105BB"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3.2. Ориентация, морфология и субструктура пленок MgO на монокристаллических фольгах (001) Ni</w:t>
      </w:r>
    </w:p>
    <w:p w14:paraId="10D5CCE0"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3.3. Рост пленок YSZ с двухосной текстурой</w:t>
      </w:r>
    </w:p>
    <w:p w14:paraId="75215D40"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3.3.1. Пленки YSZ на неориентирующих подложках</w:t>
      </w:r>
    </w:p>
    <w:p w14:paraId="1C036314"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3.3.2. Влияние типа подложки на азимутальную текстуру пленок YSZ</w:t>
      </w:r>
    </w:p>
    <w:p w14:paraId="48FCAF70"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3.3.3. Рост пленок YSZ на монокристаллических поверхностях YSZ</w:t>
      </w:r>
    </w:p>
    <w:p w14:paraId="20E325DE"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3.4. Обсуждение результатов исследования роста пленок YSZ при IBAD</w:t>
      </w:r>
    </w:p>
    <w:p w14:paraId="453088BE"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3.4.1. Гомоэпитаксиальный рост пленок</w:t>
      </w:r>
    </w:p>
    <w:p w14:paraId="71FACBB8"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3.4.2. Образование зародышевого слоя на начальной стадии роста пленки</w:t>
      </w:r>
    </w:p>
    <w:p w14:paraId="3D6644DC"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3.4.3. Селективный рост зерен</w:t>
      </w:r>
    </w:p>
    <w:p w14:paraId="176C7EDF"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3.5. Механизм образования биаксиальной текстуры в пленках</w:t>
      </w:r>
    </w:p>
    <w:p w14:paraId="384BE769"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У8г</w:t>
      </w:r>
    </w:p>
    <w:p w14:paraId="52F97C0A"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3.6. Пленки УВаСиО на текстурированных барьерных слоях МДО иУ8г</w:t>
      </w:r>
    </w:p>
    <w:p w14:paraId="48185DC1"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ОСНОВНЫЕ РЕЗУЛЬТАТЫ И ВЫВОДЫ</w:t>
      </w:r>
    </w:p>
    <w:p w14:paraId="69D191F2" w14:textId="77777777" w:rsidR="00A56EDD" w:rsidRPr="00A56EDD" w:rsidRDefault="00A56EDD" w:rsidP="00A56EDD">
      <w:pPr>
        <w:rPr>
          <w:rFonts w:ascii="Helvetica" w:eastAsia="Symbol" w:hAnsi="Helvetica" w:cs="Helvetica"/>
          <w:b/>
          <w:bCs/>
          <w:color w:val="222222"/>
          <w:kern w:val="0"/>
          <w:sz w:val="21"/>
          <w:szCs w:val="21"/>
          <w:lang w:eastAsia="ru-RU"/>
        </w:rPr>
      </w:pPr>
      <w:r w:rsidRPr="00A56EDD">
        <w:rPr>
          <w:rFonts w:ascii="Helvetica" w:eastAsia="Symbol" w:hAnsi="Helvetica" w:cs="Helvetica"/>
          <w:b/>
          <w:bCs/>
          <w:color w:val="222222"/>
          <w:kern w:val="0"/>
          <w:sz w:val="21"/>
          <w:szCs w:val="21"/>
          <w:lang w:eastAsia="ru-RU"/>
        </w:rPr>
        <w:t>СПИСОК ИСПОЛЬЗУЕМЫХ ИСТОЧНИКОВ</w:t>
      </w:r>
    </w:p>
    <w:p w14:paraId="071EBB05" w14:textId="2737942D" w:rsidR="00E67B85" w:rsidRPr="00A56EDD" w:rsidRDefault="00E67B85" w:rsidP="00A56EDD"/>
    <w:sectPr w:rsidR="00E67B85" w:rsidRPr="00A56E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2BE7" w14:textId="77777777" w:rsidR="00620ACA" w:rsidRDefault="00620ACA">
      <w:pPr>
        <w:spacing w:after="0" w:line="240" w:lineRule="auto"/>
      </w:pPr>
      <w:r>
        <w:separator/>
      </w:r>
    </w:p>
  </w:endnote>
  <w:endnote w:type="continuationSeparator" w:id="0">
    <w:p w14:paraId="3DCF8608" w14:textId="77777777" w:rsidR="00620ACA" w:rsidRDefault="0062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64CB" w14:textId="77777777" w:rsidR="00620ACA" w:rsidRDefault="00620ACA"/>
    <w:p w14:paraId="3C0289A0" w14:textId="77777777" w:rsidR="00620ACA" w:rsidRDefault="00620ACA"/>
    <w:p w14:paraId="48669CB6" w14:textId="77777777" w:rsidR="00620ACA" w:rsidRDefault="00620ACA"/>
    <w:p w14:paraId="2396C6F0" w14:textId="77777777" w:rsidR="00620ACA" w:rsidRDefault="00620ACA"/>
    <w:p w14:paraId="6A5AB057" w14:textId="77777777" w:rsidR="00620ACA" w:rsidRDefault="00620ACA"/>
    <w:p w14:paraId="342BDA90" w14:textId="77777777" w:rsidR="00620ACA" w:rsidRDefault="00620ACA"/>
    <w:p w14:paraId="116CA1CE" w14:textId="77777777" w:rsidR="00620ACA" w:rsidRDefault="00620A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48D33F" wp14:editId="02DCC7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C07A9" w14:textId="77777777" w:rsidR="00620ACA" w:rsidRDefault="00620A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48D3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8C07A9" w14:textId="77777777" w:rsidR="00620ACA" w:rsidRDefault="00620A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8806FF" w14:textId="77777777" w:rsidR="00620ACA" w:rsidRDefault="00620ACA"/>
    <w:p w14:paraId="70813016" w14:textId="77777777" w:rsidR="00620ACA" w:rsidRDefault="00620ACA"/>
    <w:p w14:paraId="271EB8D3" w14:textId="77777777" w:rsidR="00620ACA" w:rsidRDefault="00620A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F12646" wp14:editId="405644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C4A21" w14:textId="77777777" w:rsidR="00620ACA" w:rsidRDefault="00620ACA"/>
                          <w:p w14:paraId="6674A549" w14:textId="77777777" w:rsidR="00620ACA" w:rsidRDefault="00620A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F126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BC4A21" w14:textId="77777777" w:rsidR="00620ACA" w:rsidRDefault="00620ACA"/>
                    <w:p w14:paraId="6674A549" w14:textId="77777777" w:rsidR="00620ACA" w:rsidRDefault="00620A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A541CE" w14:textId="77777777" w:rsidR="00620ACA" w:rsidRDefault="00620ACA"/>
    <w:p w14:paraId="3EDA5CCB" w14:textId="77777777" w:rsidR="00620ACA" w:rsidRDefault="00620ACA">
      <w:pPr>
        <w:rPr>
          <w:sz w:val="2"/>
          <w:szCs w:val="2"/>
        </w:rPr>
      </w:pPr>
    </w:p>
    <w:p w14:paraId="5A26B33B" w14:textId="77777777" w:rsidR="00620ACA" w:rsidRDefault="00620ACA"/>
    <w:p w14:paraId="19B6D652" w14:textId="77777777" w:rsidR="00620ACA" w:rsidRDefault="00620ACA">
      <w:pPr>
        <w:spacing w:after="0" w:line="240" w:lineRule="auto"/>
      </w:pPr>
    </w:p>
  </w:footnote>
  <w:footnote w:type="continuationSeparator" w:id="0">
    <w:p w14:paraId="77B83D2F" w14:textId="77777777" w:rsidR="00620ACA" w:rsidRDefault="0062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A"/>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112075</TotalTime>
  <Pages>2</Pages>
  <Words>381</Words>
  <Characters>2177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1808</cp:revision>
  <cp:lastPrinted>2009-02-06T05:36:00Z</cp:lastPrinted>
  <dcterms:created xsi:type="dcterms:W3CDTF">2024-01-07T13:43:00Z</dcterms:created>
  <dcterms:modified xsi:type="dcterms:W3CDTF">2025-06-11T06:59:00Z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