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451780" w:rsidRDefault="00451780" w:rsidP="00451780">
      <w:r w:rsidRPr="00AC584C">
        <w:rPr>
          <w:rFonts w:ascii="Times New Roman" w:eastAsia="Calibri" w:hAnsi="Times New Roman" w:cs="Times New Roman"/>
          <w:b/>
          <w:sz w:val="24"/>
          <w:szCs w:val="24"/>
        </w:rPr>
        <w:t>Заяць Павло Степанович</w:t>
      </w:r>
      <w:r w:rsidRPr="00AC584C">
        <w:rPr>
          <w:rFonts w:ascii="Times New Roman" w:eastAsia="Calibri" w:hAnsi="Times New Roman" w:cs="Times New Roman"/>
          <w:sz w:val="24"/>
          <w:szCs w:val="24"/>
        </w:rPr>
        <w:t>, науковий співробітник відділу обробітку ґрунту і боротьби з бур’янами ННЦ «Інститут землеробства НААН». Назва дисертації:</w:t>
      </w:r>
      <w:r w:rsidRPr="00AC584C">
        <w:rPr>
          <w:rFonts w:ascii="Times New Roman" w:eastAsia="Calibri" w:hAnsi="Times New Roman" w:cs="Times New Roman"/>
          <w:b/>
          <w:sz w:val="24"/>
          <w:szCs w:val="24"/>
        </w:rPr>
        <w:t xml:space="preserve"> </w:t>
      </w:r>
      <w:r w:rsidRPr="00AC584C">
        <w:rPr>
          <w:rFonts w:ascii="Times New Roman" w:eastAsia="Times New Roman" w:hAnsi="Times New Roman" w:cs="Times New Roman"/>
          <w:sz w:val="24"/>
          <w:szCs w:val="24"/>
        </w:rPr>
        <w:t>«</w:t>
      </w:r>
      <w:r w:rsidRPr="00AC584C">
        <w:rPr>
          <w:rFonts w:ascii="Times New Roman" w:eastAsia="Calibri" w:hAnsi="Times New Roman" w:cs="Times New Roman"/>
          <w:color w:val="000000"/>
          <w:sz w:val="24"/>
          <w:szCs w:val="24"/>
        </w:rPr>
        <w:t>Продуктивність сої і пшениці озимої залежно від способів основного обробітку сірого лісового ґрунту та заходів контролювання сегетальної рослинності</w:t>
      </w:r>
      <w:r w:rsidRPr="00AC584C">
        <w:rPr>
          <w:rFonts w:ascii="Times New Roman" w:eastAsia="Times New Roman" w:hAnsi="Times New Roman" w:cs="Times New Roman"/>
          <w:sz w:val="24"/>
          <w:szCs w:val="24"/>
        </w:rPr>
        <w:t>»</w:t>
      </w:r>
      <w:r w:rsidRPr="00AC584C">
        <w:rPr>
          <w:rFonts w:ascii="Times New Roman" w:eastAsia="Calibri" w:hAnsi="Times New Roman" w:cs="Times New Roman"/>
          <w:sz w:val="24"/>
          <w:szCs w:val="24"/>
        </w:rPr>
        <w:t xml:space="preserve">. Шифр та назва спеціальності – </w:t>
      </w:r>
      <w:r w:rsidRPr="00AC584C">
        <w:rPr>
          <w:rFonts w:ascii="Times New Roman" w:eastAsia="Calibri" w:hAnsi="Times New Roman" w:cs="Times New Roman"/>
          <w:bCs/>
          <w:color w:val="000000"/>
          <w:sz w:val="24"/>
          <w:szCs w:val="24"/>
        </w:rPr>
        <w:t>06.01.01 – загальне землеробство</w:t>
      </w:r>
      <w:r w:rsidRPr="00AC584C">
        <w:rPr>
          <w:rFonts w:ascii="Times New Roman" w:eastAsia="Calibri" w:hAnsi="Times New Roman" w:cs="Times New Roman"/>
          <w:sz w:val="24"/>
          <w:szCs w:val="24"/>
        </w:rPr>
        <w:t>. Спецрада</w:t>
      </w:r>
      <w:r w:rsidRPr="00AC584C">
        <w:rPr>
          <w:rFonts w:ascii="Times New Roman" w:eastAsia="Calibri" w:hAnsi="Times New Roman" w:cs="Times New Roman"/>
          <w:b/>
          <w:sz w:val="24"/>
          <w:szCs w:val="24"/>
        </w:rPr>
        <w:t xml:space="preserve"> </w:t>
      </w:r>
      <w:r w:rsidRPr="00AC584C">
        <w:rPr>
          <w:rFonts w:ascii="Times New Roman" w:eastAsia="Calibri" w:hAnsi="Times New Roman" w:cs="Times New Roman"/>
          <w:sz w:val="24"/>
          <w:szCs w:val="24"/>
        </w:rPr>
        <w:t>Д 27.361.01 ННЦ «Інститут землеробства НААН»</w:t>
      </w:r>
    </w:p>
    <w:sectPr w:rsidR="000D5E82" w:rsidRPr="0045178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451780" w:rsidRPr="004517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8EF0E-BF6F-45B5-AD29-BB4C936E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2021-02-06T20:26:00Z</dcterms:created>
  <dcterms:modified xsi:type="dcterms:W3CDTF">2021-02-06T20:31:00Z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