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3152" w14:textId="7EA1F683" w:rsidR="00657D0C" w:rsidRDefault="00B9510F" w:rsidP="00B9510F">
      <w:pPr>
        <w:rPr>
          <w:rFonts w:ascii="Verdana" w:hAnsi="Verdana"/>
          <w:b/>
          <w:bCs/>
          <w:color w:val="000000"/>
          <w:shd w:val="clear" w:color="auto" w:fill="FFFFFF"/>
        </w:rPr>
      </w:pPr>
      <w:r>
        <w:rPr>
          <w:rFonts w:ascii="Verdana" w:hAnsi="Verdana"/>
          <w:b/>
          <w:bCs/>
          <w:color w:val="000000"/>
          <w:shd w:val="clear" w:color="auto" w:fill="FFFFFF"/>
        </w:rPr>
        <w:t>Фатєєва Ельвіра Михайлівна. Організаційно-педагогічні засади управління центром довузівської підготовки вищого навчального закладу : Дис... канд. пед. наук: 13.00.01 / Херсонський держ. ун-т. — Херсон, 2005. — 250арк. — Бібліогр.: арк. 186-211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9510F" w:rsidRPr="00B9510F" w14:paraId="6591B2BF" w14:textId="77777777" w:rsidTr="00B951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510F" w:rsidRPr="00B9510F" w14:paraId="46E72BFB" w14:textId="77777777">
              <w:trPr>
                <w:tblCellSpacing w:w="0" w:type="dxa"/>
              </w:trPr>
              <w:tc>
                <w:tcPr>
                  <w:tcW w:w="0" w:type="auto"/>
                  <w:vAlign w:val="center"/>
                  <w:hideMark/>
                </w:tcPr>
                <w:p w14:paraId="64386402"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b/>
                      <w:bCs/>
                      <w:sz w:val="24"/>
                      <w:szCs w:val="24"/>
                    </w:rPr>
                    <w:lastRenderedPageBreak/>
                    <w:t>Фатєєва Е.М. Організаційно-педагогічні засади управління центром довузівської підготовки вищого навчального закладу. – Рукопис.</w:t>
                  </w:r>
                </w:p>
                <w:p w14:paraId="62617BC3"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13.00.01. – загальна педагогіка та історія педагогіки. Інститут педагогіки АПН України, Київ, 2005.</w:t>
                  </w:r>
                </w:p>
                <w:p w14:paraId="50D5DC47"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Дисертація присвячена актуальній проблемі: виявленню та обґрунтуванню організаційно-педагогічних засад управління центром довузівської підготовки вищого навчального закладу. На основі розгляду генезису інституцій довузівської підготовки при вищих навчальних закладах окреслено довузівську підготовку як психолого-педагогічну проблему особистості. Проаналізовано вітчизняний і зарубіжний досвід. Обґрунтовано та реалізовано концептуальні положення управління центром довузівської підготовки майбутніх студентів, як складової вищого навчального закладу.</w:t>
                  </w:r>
                </w:p>
                <w:p w14:paraId="377073F9"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Розроблено структурно-функціональну модель управління центром довузівської підготовки та специфіку організації, структури, змісту процесу навчання. У процесі дослідження науково обґрунтовано зміст довузівської підготовки та трикомпонентна структура навчальних планів (34 навчальні плани для 42 спеціальностей університету). Висвітлено сучасні вимоги до навчального процесу, що дозволяють реалізувати особистісно орієнтований підхід до слухачів центру довузівської підготовки. Виявлено фактори впливу на якість знань слухачів.</w:t>
                  </w:r>
                </w:p>
                <w:p w14:paraId="701DEBAC"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Експериментально виявлено динаміку зміни якості знань слухачів під час навчання у центрі довузівської підготовки.</w:t>
                  </w:r>
                </w:p>
              </w:tc>
            </w:tr>
          </w:tbl>
          <w:p w14:paraId="2D8F17D3" w14:textId="77777777" w:rsidR="00B9510F" w:rsidRPr="00B9510F" w:rsidRDefault="00B9510F" w:rsidP="00B9510F">
            <w:pPr>
              <w:spacing w:after="0" w:line="240" w:lineRule="auto"/>
              <w:rPr>
                <w:rFonts w:ascii="Times New Roman" w:eastAsia="Times New Roman" w:hAnsi="Times New Roman" w:cs="Times New Roman"/>
                <w:sz w:val="24"/>
                <w:szCs w:val="24"/>
              </w:rPr>
            </w:pPr>
          </w:p>
        </w:tc>
      </w:tr>
      <w:tr w:rsidR="00B9510F" w:rsidRPr="00B9510F" w14:paraId="1D485A03" w14:textId="77777777" w:rsidTr="00B951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510F" w:rsidRPr="00B9510F" w14:paraId="532DCFA5" w14:textId="77777777">
              <w:trPr>
                <w:tblCellSpacing w:w="0" w:type="dxa"/>
              </w:trPr>
              <w:tc>
                <w:tcPr>
                  <w:tcW w:w="0" w:type="auto"/>
                  <w:vAlign w:val="center"/>
                  <w:hideMark/>
                </w:tcPr>
                <w:p w14:paraId="218332F6"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Проведене дослідження організаційно-педагогічних засад управління центром довузівської підготовки дозволило дійти певних висновків.</w:t>
                  </w:r>
                </w:p>
                <w:p w14:paraId="4146DE95"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1. Аналіз науково-педагогічної літератури та практики управління свідчить, що основну увагу науковці приділяли проблемам навчання молоді у середній та вищій школі, а результати й висновки досліджень перенесені на інституції довузівської підготовки без урахування реформаційних і модернізаційних процесів, специфіки регіону і потреб у висококваліфікованих працівниках.</w:t>
                  </w:r>
                </w:p>
                <w:p w14:paraId="56D5E473"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2. Розроблена, обґрунтована та запроваджена концепція управління центром довузівської підготовки вищого навчального закладу має наступні структурні компоненти: характерні ознаки, мета і завдання, система навчання слухачів, викладацький склад, система управління, планування і фінансування діяльності центру довузівської підготовки, умови реалізації концепції. Концептуальна і прогностична мета діяльності центру довузівської підготовки детермінує основні завдання, пріоритетні напрями діяльності, функції управління, зміст підготовки і якість навчання слухачів.</w:t>
                  </w:r>
                </w:p>
                <w:p w14:paraId="66AA0650"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3. Виконане дослідження дало змогу розробити трикомпонентну структуру і змістовне наповнення навчальних планів та практично реалізувати їх. Структура навчального плану центру довузівської підготовки вищого навчального закладу представлена сукупністю базових загальноосвітніх, профільних і пропедевтичних навчальних предметів із урахуванням конкретної спеціалізації інститутів або факультетів університету.</w:t>
                  </w:r>
                </w:p>
                <w:p w14:paraId="23C1128A"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lastRenderedPageBreak/>
                    <w:t>4. Розроблена, теоретично обґрунтована та експериментально перевірена в процесі дослідження структурно-функціональна модель управління центром довузівської підготовки майбутніх студентів побудована на основі системно-структурного, функціонального, діяльнісного наукових підходів і методологічних основ теорії моделювання з урахуванням особливостей інфраструктури соціальної сфери регіону. Складовими моделі є: соціально-педагогічні запити щодо потреб підготовки майбутніх фахівців, визначення мети підготовки слухачів центру довузівської підготовки, організаційно-педагогічний блок (етапи відбору і підготовки), змістовно-методичний, результативно-оцінний, управлінський блоки.</w:t>
                  </w:r>
                </w:p>
                <w:p w14:paraId="40F10C0E"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Взаємодія суб’єктів управління і навчання щодо досягнення концептуальної і прогностичної цілей підготовки слухачів центру довузівської підготовки забезпечує здійснення їх допрофесійної підготовки до навчання у вищих навчальних закладах на основі поглибленого вивчення профільних дисциплін шляхом інтеграції змісту освіти загальноосвітніх середніх і вищих навчальних закладів. Розроблені критерії дозволяють визначити рівень ефективності управління центром довузівської підготовки, який за оцінюванням 216-ти експертів є високим (К</w:t>
                  </w:r>
                  <w:r w:rsidRPr="00B9510F">
                    <w:rPr>
                      <w:rFonts w:ascii="Times New Roman" w:eastAsia="Times New Roman" w:hAnsi="Times New Roman" w:cs="Times New Roman"/>
                      <w:sz w:val="24"/>
                      <w:szCs w:val="24"/>
                      <w:vertAlign w:val="subscript"/>
                    </w:rPr>
                    <w:t>еф.упр.</w:t>
                  </w:r>
                  <w:r w:rsidRPr="00B9510F">
                    <w:rPr>
                      <w:rFonts w:ascii="Times New Roman" w:eastAsia="Times New Roman" w:hAnsi="Times New Roman" w:cs="Times New Roman"/>
                      <w:sz w:val="24"/>
                      <w:szCs w:val="24"/>
                    </w:rPr>
                    <w:t>= 0,78) на формувальному етапі експерименту порівняно з середнім рівнем (К</w:t>
                  </w:r>
                  <w:r w:rsidRPr="00B9510F">
                    <w:rPr>
                      <w:rFonts w:ascii="Times New Roman" w:eastAsia="Times New Roman" w:hAnsi="Times New Roman" w:cs="Times New Roman"/>
                      <w:sz w:val="24"/>
                      <w:szCs w:val="24"/>
                      <w:vertAlign w:val="subscript"/>
                    </w:rPr>
                    <w:t>еф.упр.</w:t>
                  </w:r>
                  <w:r w:rsidRPr="00B9510F">
                    <w:rPr>
                      <w:rFonts w:ascii="Times New Roman" w:eastAsia="Times New Roman" w:hAnsi="Times New Roman" w:cs="Times New Roman"/>
                      <w:sz w:val="24"/>
                      <w:szCs w:val="24"/>
                    </w:rPr>
                    <w:t>= 0,62) на констатувальному.</w:t>
                  </w:r>
                </w:p>
                <w:p w14:paraId="7A683958"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5. Процес навчання слухачів центру довузівської підготовки представляє відкриту нелінійну систему організації навчально-пізнавальної діяльності слухачів, в основі якої органічна єдність і взаємозв’язок викладання й учіння, що спрямована на задоволення освітніх потреб слухачів і їх допрофесійну підготовку до навчання у вищих навчальних закладах. Управління навчальною діяльністю слухачів центру довузівської підготовки репрезентовано низкою етапів, забезпечує реалізацію індивідуальної освітньої траекторії слухачів в опануванні системою знань у певній освітній галузі та за обраною спеціалізацією і здійснюється викладачами центру.</w:t>
                  </w:r>
                </w:p>
                <w:p w14:paraId="0B6CD105"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6. Відповідно до завдань дослідження й програми експерименту була визначена позитивна динаміка якості знань слухачів під час навчання у центрі довузівської підготовки. З цією метою систематизовані результати вхідного контролю, екзаменів зимової й весняної сесій та вступних іспитів слухачів, які дозволили виявити тенденцію підвищення якості знань в середньому на 36,0%, у розрізі 2000/2003рр.</w:t>
                  </w:r>
                </w:p>
                <w:p w14:paraId="689B5D98"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Правомірність та практична придатність структурно-функціональної моделі управління центром довузівської підготовки були підтверджені в процесі формувального етапу експерименту, що дозволяє не тільки покращувати якісні показники навчання слухачів, а й адаптувати їх до подальшого отримання освіти у вищих навчальних закладах.</w:t>
                  </w:r>
                </w:p>
                <w:p w14:paraId="2B627393"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У процесі експерименту отримано значення коефіцієнта детермінації R</w:t>
                  </w:r>
                  <w:r w:rsidRPr="00B9510F">
                    <w:rPr>
                      <w:rFonts w:ascii="Times New Roman" w:eastAsia="Times New Roman" w:hAnsi="Times New Roman" w:cs="Times New Roman"/>
                      <w:sz w:val="24"/>
                      <w:szCs w:val="24"/>
                      <w:vertAlign w:val="superscript"/>
                    </w:rPr>
                    <w:t>2 </w:t>
                  </w:r>
                  <w:r w:rsidRPr="00B9510F">
                    <w:rPr>
                      <w:rFonts w:ascii="Times New Roman" w:eastAsia="Times New Roman" w:hAnsi="Times New Roman" w:cs="Times New Roman"/>
                      <w:sz w:val="24"/>
                      <w:szCs w:val="24"/>
                    </w:rPr>
                    <w:t>0,67. Це свідчить про те, що структурно-функціональна модель управління адекватна реальному процесу управління центром довузівської підготовки.</w:t>
                  </w:r>
                </w:p>
                <w:p w14:paraId="7AF8A2B2"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 xml:space="preserve">Розгляд дисертаційної проблеми на теоретичному, методичному і практичному рівнях, одержані результати дають змогу стверджувати: вихідна методологія є адекватною поставленим завданням, які в ході дослідження реалізовані, мету досягнуто, підтвердилися всі компоненти гіпотези – підготовка слухачів центру довузівської підготовки до вищого навчального закладу </w:t>
                  </w:r>
                  <w:r w:rsidRPr="00B9510F">
                    <w:rPr>
                      <w:rFonts w:ascii="Times New Roman" w:eastAsia="Times New Roman" w:hAnsi="Times New Roman" w:cs="Times New Roman"/>
                      <w:sz w:val="24"/>
                      <w:szCs w:val="24"/>
                    </w:rPr>
                    <w:lastRenderedPageBreak/>
                    <w:t>виявляється ефективною за умов наявності організаційно-педагогічних засад управління центром довузівської підготовки.</w:t>
                  </w:r>
                </w:p>
                <w:p w14:paraId="2F866DC4" w14:textId="77777777" w:rsidR="00B9510F" w:rsidRPr="00B9510F" w:rsidRDefault="00B9510F" w:rsidP="00B951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510F">
                    <w:rPr>
                      <w:rFonts w:ascii="Times New Roman" w:eastAsia="Times New Roman" w:hAnsi="Times New Roman" w:cs="Times New Roman"/>
                      <w:sz w:val="24"/>
                      <w:szCs w:val="24"/>
                    </w:rPr>
                    <w:t>Проведене дослідження повною мірою не вичерпало всіх аспектів управління довузівською підготовкою слухачів й не претендує на повне розв’язання цієї багатоаспектної проблеми. Подальшої розробки потребує визначення й обґрунтування змісту фінансово-економічної діяльності центру довузівської підготовки, система контролю якості знань слухачів, організаційно-педагогічні умови вдосконалення навчального процесу в інституціях довузівської підготовки, історико-педагогічний аналіз функціонування цих інституцій в Україні (друга половина ХХ століття); здійснення порівняльного аналізу системи підготовки майбутніх студентів зарубіжних країн; критерії та технології оцінювання ефективності управління центром.</w:t>
                  </w:r>
                </w:p>
              </w:tc>
            </w:tr>
          </w:tbl>
          <w:p w14:paraId="1F83C5CF" w14:textId="77777777" w:rsidR="00B9510F" w:rsidRPr="00B9510F" w:rsidRDefault="00B9510F" w:rsidP="00B9510F">
            <w:pPr>
              <w:spacing w:after="0" w:line="240" w:lineRule="auto"/>
              <w:rPr>
                <w:rFonts w:ascii="Times New Roman" w:eastAsia="Times New Roman" w:hAnsi="Times New Roman" w:cs="Times New Roman"/>
                <w:sz w:val="24"/>
                <w:szCs w:val="24"/>
              </w:rPr>
            </w:pPr>
          </w:p>
        </w:tc>
      </w:tr>
    </w:tbl>
    <w:p w14:paraId="267AFD3F" w14:textId="77777777" w:rsidR="00B9510F" w:rsidRPr="00B9510F" w:rsidRDefault="00B9510F" w:rsidP="00B9510F"/>
    <w:sectPr w:rsidR="00B9510F" w:rsidRPr="00B951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C101" w14:textId="77777777" w:rsidR="004C0626" w:rsidRDefault="004C0626">
      <w:pPr>
        <w:spacing w:after="0" w:line="240" w:lineRule="auto"/>
      </w:pPr>
      <w:r>
        <w:separator/>
      </w:r>
    </w:p>
  </w:endnote>
  <w:endnote w:type="continuationSeparator" w:id="0">
    <w:p w14:paraId="4DE4D3A9" w14:textId="77777777" w:rsidR="004C0626" w:rsidRDefault="004C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0CFC" w14:textId="77777777" w:rsidR="004C0626" w:rsidRDefault="004C0626">
      <w:pPr>
        <w:spacing w:after="0" w:line="240" w:lineRule="auto"/>
      </w:pPr>
      <w:r>
        <w:separator/>
      </w:r>
    </w:p>
  </w:footnote>
  <w:footnote w:type="continuationSeparator" w:id="0">
    <w:p w14:paraId="2EAC7AD8" w14:textId="77777777" w:rsidR="004C0626" w:rsidRDefault="004C0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06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65EB"/>
    <w:multiLevelType w:val="multilevel"/>
    <w:tmpl w:val="5D6E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122A8"/>
    <w:multiLevelType w:val="multilevel"/>
    <w:tmpl w:val="6F603D3E"/>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36859"/>
    <w:multiLevelType w:val="multilevel"/>
    <w:tmpl w:val="FA9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E7E2F"/>
    <w:multiLevelType w:val="multilevel"/>
    <w:tmpl w:val="5AF2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7621E"/>
    <w:multiLevelType w:val="multilevel"/>
    <w:tmpl w:val="B798C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E2A47"/>
    <w:multiLevelType w:val="multilevel"/>
    <w:tmpl w:val="286E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C84FB1"/>
    <w:multiLevelType w:val="multilevel"/>
    <w:tmpl w:val="F5CAFA9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24" w15:restartNumberingAfterBreak="0">
    <w:nsid w:val="4DD64D6B"/>
    <w:multiLevelType w:val="multilevel"/>
    <w:tmpl w:val="9A204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D2CAD"/>
    <w:multiLevelType w:val="multilevel"/>
    <w:tmpl w:val="53A0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E666D"/>
    <w:multiLevelType w:val="multilevel"/>
    <w:tmpl w:val="3DBA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56CAF"/>
    <w:multiLevelType w:val="multilevel"/>
    <w:tmpl w:val="AE98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1F4C08"/>
    <w:multiLevelType w:val="multilevel"/>
    <w:tmpl w:val="2F4C0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8060E"/>
    <w:multiLevelType w:val="multilevel"/>
    <w:tmpl w:val="DA0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8"/>
  </w:num>
  <w:num w:numId="3">
    <w:abstractNumId w:val="28"/>
    <w:lvlOverride w:ilvl="1">
      <w:startOverride w:val="6"/>
    </w:lvlOverride>
  </w:num>
  <w:num w:numId="4">
    <w:abstractNumId w:val="10"/>
  </w:num>
  <w:num w:numId="5">
    <w:abstractNumId w:val="2"/>
  </w:num>
  <w:num w:numId="6">
    <w:abstractNumId w:val="7"/>
  </w:num>
  <w:num w:numId="7">
    <w:abstractNumId w:val="27"/>
  </w:num>
  <w:num w:numId="8">
    <w:abstractNumId w:val="18"/>
  </w:num>
  <w:num w:numId="9">
    <w:abstractNumId w:val="14"/>
  </w:num>
  <w:num w:numId="10">
    <w:abstractNumId w:val="1"/>
  </w:num>
  <w:num w:numId="11">
    <w:abstractNumId w:val="17"/>
  </w:num>
  <w:num w:numId="12">
    <w:abstractNumId w:val="15"/>
  </w:num>
  <w:num w:numId="13">
    <w:abstractNumId w:val="20"/>
  </w:num>
  <w:num w:numId="14">
    <w:abstractNumId w:val="9"/>
  </w:num>
  <w:num w:numId="15">
    <w:abstractNumId w:val="4"/>
  </w:num>
  <w:num w:numId="16">
    <w:abstractNumId w:val="30"/>
  </w:num>
  <w:num w:numId="17">
    <w:abstractNumId w:val="34"/>
  </w:num>
  <w:num w:numId="18">
    <w:abstractNumId w:val="8"/>
  </w:num>
  <w:num w:numId="19">
    <w:abstractNumId w:val="19"/>
  </w:num>
  <w:num w:numId="20">
    <w:abstractNumId w:val="16"/>
  </w:num>
  <w:num w:numId="21">
    <w:abstractNumId w:val="0"/>
  </w:num>
  <w:num w:numId="22">
    <w:abstractNumId w:val="5"/>
  </w:num>
  <w:num w:numId="23">
    <w:abstractNumId w:val="29"/>
  </w:num>
  <w:num w:numId="24">
    <w:abstractNumId w:val="31"/>
  </w:num>
  <w:num w:numId="25">
    <w:abstractNumId w:val="23"/>
  </w:num>
  <w:num w:numId="26">
    <w:abstractNumId w:val="23"/>
    <w:lvlOverride w:ilvl="5">
      <w:startOverride w:val="8"/>
    </w:lvlOverride>
  </w:num>
  <w:num w:numId="27">
    <w:abstractNumId w:val="13"/>
  </w:num>
  <w:num w:numId="28">
    <w:abstractNumId w:val="12"/>
  </w:num>
  <w:num w:numId="29">
    <w:abstractNumId w:val="26"/>
  </w:num>
  <w:num w:numId="30">
    <w:abstractNumId w:val="6"/>
  </w:num>
  <w:num w:numId="31">
    <w:abstractNumId w:val="3"/>
  </w:num>
  <w:num w:numId="32">
    <w:abstractNumId w:val="35"/>
  </w:num>
  <w:num w:numId="33">
    <w:abstractNumId w:val="11"/>
  </w:num>
  <w:num w:numId="34">
    <w:abstractNumId w:val="24"/>
  </w:num>
  <w:num w:numId="35">
    <w:abstractNumId w:val="32"/>
  </w:num>
  <w:num w:numId="36">
    <w:abstractNumId w:val="22"/>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4BF5"/>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64B2"/>
    <w:rsid w:val="001066CD"/>
    <w:rsid w:val="001104F4"/>
    <w:rsid w:val="00110F00"/>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75B"/>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2CF3"/>
    <w:rsid w:val="003040D6"/>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0626"/>
    <w:rsid w:val="004C1927"/>
    <w:rsid w:val="004C3D81"/>
    <w:rsid w:val="004C41EA"/>
    <w:rsid w:val="004C5864"/>
    <w:rsid w:val="004C61EA"/>
    <w:rsid w:val="004D08A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43C"/>
    <w:rsid w:val="00520C3E"/>
    <w:rsid w:val="005210EC"/>
    <w:rsid w:val="00521682"/>
    <w:rsid w:val="00524225"/>
    <w:rsid w:val="00525105"/>
    <w:rsid w:val="005259D1"/>
    <w:rsid w:val="00526657"/>
    <w:rsid w:val="00527CF2"/>
    <w:rsid w:val="00531C55"/>
    <w:rsid w:val="005321EF"/>
    <w:rsid w:val="0053301C"/>
    <w:rsid w:val="00533725"/>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11F7"/>
    <w:rsid w:val="00612EA7"/>
    <w:rsid w:val="00613F83"/>
    <w:rsid w:val="006165BB"/>
    <w:rsid w:val="006176D4"/>
    <w:rsid w:val="00617A28"/>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774A"/>
    <w:rsid w:val="00B509F0"/>
    <w:rsid w:val="00B50B4E"/>
    <w:rsid w:val="00B5319E"/>
    <w:rsid w:val="00B53382"/>
    <w:rsid w:val="00B53C21"/>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45ED"/>
    <w:rsid w:val="00DD50A5"/>
    <w:rsid w:val="00DD72C7"/>
    <w:rsid w:val="00DD75C0"/>
    <w:rsid w:val="00DD799C"/>
    <w:rsid w:val="00DE0016"/>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6E0C"/>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83D"/>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66C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16284</TotalTime>
  <Pages>4</Pages>
  <Words>1088</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2584</cp:revision>
  <dcterms:created xsi:type="dcterms:W3CDTF">2024-06-20T08:51:00Z</dcterms:created>
  <dcterms:modified xsi:type="dcterms:W3CDTF">2024-07-07T20:57:00Z</dcterms:modified>
  <cp:category/>
</cp:coreProperties>
</file>