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59176BAD" w:rsidR="00E2479E" w:rsidRPr="003423EC" w:rsidRDefault="003423EC" w:rsidP="003423EC">
      <w:r>
        <w:rPr>
          <w:rFonts w:ascii="Verdana" w:hAnsi="Verdana"/>
          <w:b/>
          <w:bCs/>
          <w:color w:val="000000"/>
          <w:shd w:val="clear" w:color="auto" w:fill="FFFFFF"/>
        </w:rPr>
        <w:t>Бурлака Олена Василівна. Клініко-патогенетичне обгрунтування застосування фізичних чинників для відновлювального лікування жінок з дисгормональними порушеннями репродуктивного здоров'я.- Дисертація д-ра мед. наук: 14.01.33, Держ. установа "Укр. НДІ мед. реабілітації та курортології М-ва охорони здоров'я України". - О., 2012.- 360 с. : табл., рис.</w:t>
      </w:r>
    </w:p>
    <w:sectPr w:rsidR="00E2479E" w:rsidRPr="003423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0032" w14:textId="77777777" w:rsidR="001271E9" w:rsidRDefault="001271E9">
      <w:pPr>
        <w:spacing w:after="0" w:line="240" w:lineRule="auto"/>
      </w:pPr>
      <w:r>
        <w:separator/>
      </w:r>
    </w:p>
  </w:endnote>
  <w:endnote w:type="continuationSeparator" w:id="0">
    <w:p w14:paraId="1AD83664" w14:textId="77777777" w:rsidR="001271E9" w:rsidRDefault="0012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54E1" w14:textId="77777777" w:rsidR="001271E9" w:rsidRDefault="001271E9">
      <w:pPr>
        <w:spacing w:after="0" w:line="240" w:lineRule="auto"/>
      </w:pPr>
      <w:r>
        <w:separator/>
      </w:r>
    </w:p>
  </w:footnote>
  <w:footnote w:type="continuationSeparator" w:id="0">
    <w:p w14:paraId="64EA2517" w14:textId="77777777" w:rsidR="001271E9" w:rsidRDefault="0012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71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1E9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123734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4869</cp:revision>
  <dcterms:created xsi:type="dcterms:W3CDTF">2024-06-20T08:51:00Z</dcterms:created>
  <dcterms:modified xsi:type="dcterms:W3CDTF">2025-01-21T11:37:00Z</dcterms:modified>
  <cp:category/>
</cp:coreProperties>
</file>