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D46B" w14:textId="1499C360" w:rsidR="003F1D0A" w:rsidRDefault="004304FB" w:rsidP="004304FB">
      <w:pPr>
        <w:rPr>
          <w:rFonts w:ascii="Verdana" w:hAnsi="Verdana"/>
          <w:b/>
          <w:bCs/>
          <w:color w:val="000000"/>
          <w:shd w:val="clear" w:color="auto" w:fill="FFFFFF"/>
        </w:rPr>
      </w:pPr>
      <w:r>
        <w:rPr>
          <w:rFonts w:ascii="Verdana" w:hAnsi="Verdana"/>
          <w:b/>
          <w:bCs/>
          <w:color w:val="000000"/>
          <w:shd w:val="clear" w:color="auto" w:fill="FFFFFF"/>
        </w:rPr>
        <w:t xml:space="preserve">Копачинська Інна Григорівна. Оцінка рівня та наслідків концентрації суб’єктів господарювання в промисловості : Дис... канд. наук: 08.07.01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04FB" w:rsidRPr="004304FB" w14:paraId="796C5856" w14:textId="77777777" w:rsidTr="004304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04FB" w:rsidRPr="004304FB" w14:paraId="17CA8815" w14:textId="77777777">
              <w:trPr>
                <w:tblCellSpacing w:w="0" w:type="dxa"/>
              </w:trPr>
              <w:tc>
                <w:tcPr>
                  <w:tcW w:w="0" w:type="auto"/>
                  <w:vAlign w:val="center"/>
                  <w:hideMark/>
                </w:tcPr>
                <w:p w14:paraId="092B4B89" w14:textId="77777777" w:rsidR="004304FB" w:rsidRPr="004304FB" w:rsidRDefault="004304FB" w:rsidP="004304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b/>
                      <w:bCs/>
                      <w:sz w:val="24"/>
                      <w:szCs w:val="24"/>
                    </w:rPr>
                    <w:lastRenderedPageBreak/>
                    <w:t>Копачинська Інна Григорівна. Оцінка рівня та наслідків концентрації суб’єктів господарювання в промисловості. – Рукопис.</w:t>
                  </w:r>
                </w:p>
                <w:p w14:paraId="5CFD6DF5" w14:textId="77777777" w:rsidR="004304FB" w:rsidRPr="004304FB" w:rsidRDefault="004304FB" w:rsidP="004304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Інститут проблем ринку та економіко-екологічних досліджень НАН України, Одеса, 2006.</w:t>
                  </w:r>
                </w:p>
                <w:p w14:paraId="017029C6" w14:textId="77777777" w:rsidR="004304FB" w:rsidRPr="004304FB" w:rsidRDefault="004304FB" w:rsidP="004304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t>Дисертація присвячена питанням теоретичного та методичного забезпечення регулювання процесів концентрації суб’єктів господарювання у промисловості.</w:t>
                  </w:r>
                </w:p>
                <w:p w14:paraId="46FF3545" w14:textId="77777777" w:rsidR="004304FB" w:rsidRPr="004304FB" w:rsidRDefault="004304FB" w:rsidP="004304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t>У роботі охарактеризовано основні методи оцінки рівня концентрації та відзначено особливості застосування розглянутих показників. Проаналізовано рівень концентрації виробництва окремих галузей промисловості та ринкової концентрації.</w:t>
                  </w:r>
                </w:p>
                <w:p w14:paraId="47AB7594" w14:textId="77777777" w:rsidR="004304FB" w:rsidRPr="004304FB" w:rsidRDefault="004304FB" w:rsidP="004304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t>Обґрунтовано та розроблено підхід до процесів проведення поглибленого аналізу наслідків концентрації суб’єктів господарювання. Запропоновано організаційно-економічні рекомендації щодо розвитку конкуренції на товарних ринках.</w:t>
                  </w:r>
                </w:p>
              </w:tc>
            </w:tr>
          </w:tbl>
          <w:p w14:paraId="4FD354E3" w14:textId="77777777" w:rsidR="004304FB" w:rsidRPr="004304FB" w:rsidRDefault="004304FB" w:rsidP="004304FB">
            <w:pPr>
              <w:spacing w:after="0" w:line="240" w:lineRule="auto"/>
              <w:rPr>
                <w:rFonts w:ascii="Times New Roman" w:eastAsia="Times New Roman" w:hAnsi="Times New Roman" w:cs="Times New Roman"/>
                <w:sz w:val="24"/>
                <w:szCs w:val="24"/>
              </w:rPr>
            </w:pPr>
          </w:p>
        </w:tc>
      </w:tr>
      <w:tr w:rsidR="004304FB" w:rsidRPr="004304FB" w14:paraId="1E3D8DE0" w14:textId="77777777" w:rsidTr="004304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04FB" w:rsidRPr="004304FB" w14:paraId="24473FE8" w14:textId="77777777">
              <w:trPr>
                <w:tblCellSpacing w:w="0" w:type="dxa"/>
              </w:trPr>
              <w:tc>
                <w:tcPr>
                  <w:tcW w:w="0" w:type="auto"/>
                  <w:vAlign w:val="center"/>
                  <w:hideMark/>
                </w:tcPr>
                <w:p w14:paraId="4C85CD35" w14:textId="77777777" w:rsidR="004304FB" w:rsidRPr="004304FB" w:rsidRDefault="004304FB" w:rsidP="004304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t>В дисертаційній роботі наведено теоретичне узагальнення і нове вирішення наукової задачі щодо оцінки рівня та наслідків концентрації суб’єктів господарювання. Одержані в ході дисертаційного дослідження результати дозволяють узагальнити основні підсумки, сформулювати певні теоретичні та практичні рекомендації, а саме:</w:t>
                  </w:r>
                </w:p>
                <w:p w14:paraId="441E4EBC" w14:textId="77777777" w:rsidR="004304FB" w:rsidRPr="004304FB" w:rsidRDefault="004304FB" w:rsidP="006207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t>В ході дослідження здобувачем встановлено, що на межі ХХ-ХХІ століть суттєво змінюється баланс між монопольною організацією виробництва та конкуренцією. Нові тенденції полягають у підвищенні рівня ринкової концентрації та загостренні реальної конкуренції; переважаючими типами ринкових структур є монополістична конкуренція та олігополія; порівняно невеликі залишки вільної конкуренції; спостерігається суперництво між великими монополіями на національному та світовому ринках.</w:t>
                  </w:r>
                </w:p>
                <w:p w14:paraId="59BF4C06" w14:textId="77777777" w:rsidR="004304FB" w:rsidRPr="004304FB" w:rsidRDefault="004304FB" w:rsidP="006207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t>Автором доведено, що поняття «концентрація суб’єктів господарювання» доцільно розглядати з точки зору об’єктивного процесу зосередження виробництва, капіталу та ринкової влади у окремих суб’єктів господарювання. Удосконалена класифікація факторів, що визначають концентрацію суб’єктів господарювання, дозволяє антимонопольних органам з’ясувати мотиви інтеграції, встановити джерело виграшу від концентрації та оцінити ефект концентрації для суспільства та національної економіки.</w:t>
                  </w:r>
                </w:p>
                <w:p w14:paraId="1AD47832" w14:textId="77777777" w:rsidR="004304FB" w:rsidRPr="004304FB" w:rsidRDefault="004304FB" w:rsidP="006207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t>В дисертації встановлено, що процеси концентрації суб’єктів господарювання мають неоднозначний вплив на стан конкуренції на ринку. Для виявлення наслідків концентрації запропоновано використання методу порівняльного аналізу позитивних та негативних наслідків очікуваної концентрації, який ґрунтується на встановленні суспільно позитивного ефекту від концентрації та виявленні можливих антиконкурентних наслідків.</w:t>
                  </w:r>
                </w:p>
                <w:p w14:paraId="6413CCDC" w14:textId="77777777" w:rsidR="004304FB" w:rsidRPr="004304FB" w:rsidRDefault="004304FB" w:rsidP="006207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t>В результаті дослідження встановлено, що важливим напрямком попередження появи на товарних ринках монопольних утворень, здатних зловживати своїм становищем, є контрольована державою концентрація. В роботі обґрунтована доцільність надання згоди антимонопольними органами на концентрацію, яка сприятиме оновленню науково-технічного та зростанню експортного потенціалу, мобілізації зусиль з метою розвитку імпортозаміщуючого виробництва, коли в цілому позитивний ефект від передбачуваної концентрації буде вище ніж негативні наслідки для суспільства.</w:t>
                  </w:r>
                </w:p>
                <w:p w14:paraId="66A704B0" w14:textId="77777777" w:rsidR="004304FB" w:rsidRPr="004304FB" w:rsidRDefault="004304FB" w:rsidP="006207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lastRenderedPageBreak/>
                    <w:t>В Україні дотепер високим залишається рівень монополізації виробництва та рівень спеціалізації окремих підприємств, що є наслідком існування тривалий час жорсткої взаємозалежності двох рівнів монополізму: макромонополізму та мікромонополізму. Питома вага агрегованих загальнодержавних та регіональних товарних ринків України із структурними ознаками індивідуального домінування становить відповідно 40,3% та 39,6%. Крім того, 18,6% загальнодержавних та 14,5% регіональних агрегованих ринків мають ознаки колективного домінування. Отримані результати підтвердили доцільність проведення всебічного контролю антимонопольними органами процесів концентрації та обумовили необхідність розробки методичних рекомендацій щодо поглибленого аналізу рівня та наслідків концентрації суб’єктів господарювання на товарних ринках.</w:t>
                  </w:r>
                </w:p>
                <w:p w14:paraId="306BBBF0" w14:textId="77777777" w:rsidR="004304FB" w:rsidRPr="004304FB" w:rsidRDefault="004304FB" w:rsidP="006207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t>У ході аналізу наслідків концентрації суб’єктів господарювання на ринку цементу було виявлено такі позитивні результати концентрації як залучення інвестицій для технічного переоснащення окремих підприємств, підвищення якості товарної продукції, задоволення зростаючого попиту на цемент. В той же час встановлено деякі негативні наслідки, а саме: обмеження експорту, необґрунтоване підвищення цін на цемент в окремі періоди часу.</w:t>
                  </w:r>
                </w:p>
                <w:p w14:paraId="3015C486" w14:textId="77777777" w:rsidR="004304FB" w:rsidRPr="004304FB" w:rsidRDefault="004304FB" w:rsidP="006207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t>Здійснений автором прогноз рівня концентрації суб’єктів ринку цементу до 2010 дозволив встановити, що у 2006рр. слід очікувати подальше підвищення рівня ринкової концентрації. Починаючи з 2007р. спостерігатиметься зниження рівня концентрації, що обумовлено введенням в експлуатацію нового підприємства з виробництва цементу (м.Луганськ); швидкими темпи зростання місткості вітчизняного ринку та досягнення майже повного рівня завантаження потужностей більшості підприємств-виробників.</w:t>
                  </w:r>
                </w:p>
                <w:p w14:paraId="4E211674" w14:textId="77777777" w:rsidR="004304FB" w:rsidRPr="004304FB" w:rsidRDefault="004304FB" w:rsidP="006207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t>Проблема усунення монополізму у промисловості не може бути вирішена без подолання монополізму в усьому розмаїтті його форм: інституціонального, підприємницького, інфраструктурного, тіньового тощо. Як загальну мету конкурентно-антимонопольної політики держави на сучасному етапі визначено цілеспрямоване формування квазиконкурентних ринків.</w:t>
                  </w:r>
                </w:p>
                <w:p w14:paraId="66674ECF" w14:textId="77777777" w:rsidR="004304FB" w:rsidRPr="004304FB" w:rsidRDefault="004304FB" w:rsidP="006207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04FB">
                    <w:rPr>
                      <w:rFonts w:ascii="Times New Roman" w:eastAsia="Times New Roman" w:hAnsi="Times New Roman" w:cs="Times New Roman"/>
                      <w:sz w:val="24"/>
                      <w:szCs w:val="24"/>
                    </w:rPr>
                    <w:t>Визначено основні напрямки подолання ендогенних бар’єрів у сфері оподаткування, розподілу та залучення факторів виробництва (трудових, науково-технічних, інфраструктури, інформаційного забезпечення). Відзначено необхідність сприяння з боку держави у створенні системи кредитно-фінансової підтримки нових підприємств та запропоновано заходи щодо більш вільного доступу малого підприємництва до фінансових ресурсів. Серед важливих факторів формування конкурентного середовища визначено необхідність створення дієвого механізму захисту прав власності. Основна увага щодо зняття ендогенних бар’єрів була зосереджена на заходах, спрямованих на удосконалення антимонопольного регулювання горизонтальної та вертикальної концентрації, довготривалих контрактних відносин та обмеження зловживань монопольним становищем</w:t>
                  </w:r>
                </w:p>
              </w:tc>
            </w:tr>
          </w:tbl>
          <w:p w14:paraId="5C6B5F8D" w14:textId="77777777" w:rsidR="004304FB" w:rsidRPr="004304FB" w:rsidRDefault="004304FB" w:rsidP="004304FB">
            <w:pPr>
              <w:spacing w:after="0" w:line="240" w:lineRule="auto"/>
              <w:rPr>
                <w:rFonts w:ascii="Times New Roman" w:eastAsia="Times New Roman" w:hAnsi="Times New Roman" w:cs="Times New Roman"/>
                <w:sz w:val="24"/>
                <w:szCs w:val="24"/>
              </w:rPr>
            </w:pPr>
          </w:p>
        </w:tc>
      </w:tr>
    </w:tbl>
    <w:p w14:paraId="2CFB3A80" w14:textId="77777777" w:rsidR="004304FB" w:rsidRPr="004304FB" w:rsidRDefault="004304FB" w:rsidP="004304FB"/>
    <w:sectPr w:rsidR="004304FB" w:rsidRPr="004304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F0C7" w14:textId="77777777" w:rsidR="0062074D" w:rsidRDefault="0062074D">
      <w:pPr>
        <w:spacing w:after="0" w:line="240" w:lineRule="auto"/>
      </w:pPr>
      <w:r>
        <w:separator/>
      </w:r>
    </w:p>
  </w:endnote>
  <w:endnote w:type="continuationSeparator" w:id="0">
    <w:p w14:paraId="487B9AE2" w14:textId="77777777" w:rsidR="0062074D" w:rsidRDefault="0062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9316" w14:textId="77777777" w:rsidR="0062074D" w:rsidRDefault="0062074D">
      <w:pPr>
        <w:spacing w:after="0" w:line="240" w:lineRule="auto"/>
      </w:pPr>
      <w:r>
        <w:separator/>
      </w:r>
    </w:p>
  </w:footnote>
  <w:footnote w:type="continuationSeparator" w:id="0">
    <w:p w14:paraId="6DFA6534" w14:textId="77777777" w:rsidR="0062074D" w:rsidRDefault="00620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07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F3102"/>
    <w:multiLevelType w:val="multilevel"/>
    <w:tmpl w:val="B8540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074D"/>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58406</TotalTime>
  <Pages>3</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11939</cp:revision>
  <dcterms:created xsi:type="dcterms:W3CDTF">2024-06-20T08:51:00Z</dcterms:created>
  <dcterms:modified xsi:type="dcterms:W3CDTF">2024-08-22T20:09:00Z</dcterms:modified>
  <cp:category/>
</cp:coreProperties>
</file>