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D5D62"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Глонти, Нугзар Яковлевич.</w:t>
      </w:r>
    </w:p>
    <w:p w14:paraId="61A44540"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Барометрический эффект нейтронной компоненты космических лучей и автоматизированная система обработки данных на линии ЭВМ : диссертация ... кандидата физико-математических наук : 01.04.12. - Тбилиси, 1984. - 109 с. : ил.</w:t>
      </w:r>
    </w:p>
    <w:p w14:paraId="7601A17B"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Оглавление диссертациикандидат физико-математических наук Глонти, Нугзар Яковлевич</w:t>
      </w:r>
    </w:p>
    <w:p w14:paraId="379CE7D7"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ВВЕДЕНИЯ.</w:t>
      </w:r>
    </w:p>
    <w:p w14:paraId="1976FC33"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ГЛАВА I. РЕГИСТРАЦИЯ ИНТЕНСИВНОСТИ РАЗЛИЧНЫХ КОМПОНЕНТ КОСМИЧЕСКИХ ЛУЧЕЙ НА СОВЕТСКОЙ СЕШ СТАНЦИЙ И СОСТОЯНИЕ ИССЛЕДОВАНИЯ БАРОМЕТРИЧЕСКОГО ЭФФЕКТА</w:t>
      </w:r>
    </w:p>
    <w:p w14:paraId="04B5E2E2"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1.1. Советская сеть станций космических лучей . 17 1.1 Д.Якутский комплекс космических лучей . 18 I.1.2.Саянский спектрографический комплекс регистрации космических лучей</w:t>
      </w:r>
    </w:p>
    <w:p w14:paraId="50CDADF9"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1.2. Тбилисский экспериментальный космофизический комплекс космических лучей</w:t>
      </w:r>
    </w:p>
    <w:p w14:paraId="7D981A4C"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1.3. Общее состояние исследования барометрического эффекта нейтронной компоненты космических лучей.</w:t>
      </w:r>
    </w:p>
    <w:p w14:paraId="4F35C494"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Выводы по первой главе диссертации</w:t>
      </w:r>
    </w:p>
    <w:p w14:paraId="5CC33C0E"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ГЛАВА П. ПРОМЕЖУТОЧНОЕ ЗАПОМИНАЮЩЕЕ УСТРОЙСТВО (ПЗУ) НА ЛИНИИ ЭВМ ДЛЯ СБОРА, ХРАНЕНИЯ И ПЕРВИЧНОЙ ОБРАБОТКИ ДАННЫХ НАБЛЮДЕНИЙ К0СМ0ФИЗИЧЕСК0Г0 КОМПЛЕКСА КОСМИЧЕСКИХ ЛУЧЕЙ В ТБИЛИСИ</w:t>
      </w:r>
    </w:p>
    <w:p w14:paraId="48E3BA34"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2.1. Обоснование необходимости создания промежуточного запоминающего устройства на линии ЭВМ</w:t>
      </w:r>
    </w:p>
    <w:p w14:paraId="636B43EA"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2.2. Конструкция ПЗУ, основные физико-технические характеристики и режим работы</w:t>
      </w:r>
    </w:p>
    <w:p w14:paraId="25195ED9"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2.3. Устройство ПЗУ и принцип работы . '</w:t>
      </w:r>
    </w:p>
    <w:p w14:paraId="59586174"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2.4. Отбор данных наблюдений различных компонент космических лучей от идентичных каналов регистрации</w:t>
      </w:r>
    </w:p>
    <w:p w14:paraId="2E9F88F1"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Выводы по второй главе диссертации</w:t>
      </w:r>
    </w:p>
    <w:p w14:paraId="39554B4F"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ГЛАВА Ш. ИССЛЕДОВАНИЕ ИЗМЕНЕНИЯ БАРОМЕТРИЧЕСКОГО КОЭФФИЦИЕНТА НЕЙТРОННОЙ КОМПОНЕНТЫ КОСМИЧЕСКИХ ЛУЧЕ'Й И ОПРЕДЕЛЕНИЕ РЕАЛЬНЫХ ТОЧНОСТЕЙ ДАННЫХ НАБЛЮДЕНИЙ.</w:t>
      </w:r>
    </w:p>
    <w:p w14:paraId="1836F3A9"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3.1. Определение реальных ошибок данных наблюдений полученных с помощью нейтронного супер-монитора</w:t>
      </w:r>
    </w:p>
    <w:p w14:paraId="0F2E6BB2"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18НМ-64 и скрещенных мюонных телескопов</w:t>
      </w:r>
    </w:p>
    <w:p w14:paraId="02E64237"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МТ-12 и Т-16.</w:t>
      </w:r>
    </w:p>
    <w:p w14:paraId="5686F472"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3.2. Исследование барометрического коэффициента нейтронной компоненты космических лучей в зависимости от изменения уровня атмосферного давления по данным станции Тбилиси</w:t>
      </w:r>
    </w:p>
    <w:p w14:paraId="125CA9A9"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3.3. Исследование изменения барометрического коэффициента нейтронной компоненты космических лучей в зависимости от уровня атмосферного давления по данным мировой сети станции нейтронных мониторов.</w:t>
      </w:r>
    </w:p>
    <w:p w14:paraId="07E586A0"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lastRenderedPageBreak/>
        <w:t>3.4. Первичная обработка данных интенсивности нейтронной компоненты космических лучей с учетом зависимости барометрического коэффициента от изменения атмосферного давления</w:t>
      </w:r>
    </w:p>
    <w:p w14:paraId="0B6A4D85" w14:textId="77777777" w:rsidR="00C60076" w:rsidRPr="00C60076" w:rsidRDefault="00C60076" w:rsidP="00C60076">
      <w:pPr>
        <w:rPr>
          <w:rFonts w:ascii="Helvetica" w:eastAsia="Symbol" w:hAnsi="Helvetica" w:cs="Helvetica"/>
          <w:b/>
          <w:bCs/>
          <w:color w:val="222222"/>
          <w:kern w:val="0"/>
          <w:sz w:val="21"/>
          <w:szCs w:val="21"/>
          <w:lang w:eastAsia="ru-RU"/>
        </w:rPr>
      </w:pPr>
      <w:r w:rsidRPr="00C60076">
        <w:rPr>
          <w:rFonts w:ascii="Helvetica" w:eastAsia="Symbol" w:hAnsi="Helvetica" w:cs="Helvetica"/>
          <w:b/>
          <w:bCs/>
          <w:color w:val="222222"/>
          <w:kern w:val="0"/>
          <w:sz w:val="21"/>
          <w:szCs w:val="21"/>
          <w:lang w:eastAsia="ru-RU"/>
        </w:rPr>
        <w:t>Выводы по третьей главе диссертации</w:t>
      </w:r>
    </w:p>
    <w:p w14:paraId="77FDBE4B" w14:textId="12C2B1D9" w:rsidR="00410372" w:rsidRPr="00C60076" w:rsidRDefault="00410372" w:rsidP="00C60076"/>
    <w:sectPr w:rsidR="00410372" w:rsidRPr="00C600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7ABD" w14:textId="77777777" w:rsidR="00417258" w:rsidRDefault="00417258">
      <w:pPr>
        <w:spacing w:after="0" w:line="240" w:lineRule="auto"/>
      </w:pPr>
      <w:r>
        <w:separator/>
      </w:r>
    </w:p>
  </w:endnote>
  <w:endnote w:type="continuationSeparator" w:id="0">
    <w:p w14:paraId="46108F2B" w14:textId="77777777" w:rsidR="00417258" w:rsidRDefault="0041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D25F" w14:textId="77777777" w:rsidR="00417258" w:rsidRDefault="00417258"/>
    <w:p w14:paraId="26E840E2" w14:textId="77777777" w:rsidR="00417258" w:rsidRDefault="00417258"/>
    <w:p w14:paraId="370DE4AF" w14:textId="77777777" w:rsidR="00417258" w:rsidRDefault="00417258"/>
    <w:p w14:paraId="2B0AEB76" w14:textId="77777777" w:rsidR="00417258" w:rsidRDefault="00417258"/>
    <w:p w14:paraId="5CF7D832" w14:textId="77777777" w:rsidR="00417258" w:rsidRDefault="00417258"/>
    <w:p w14:paraId="2B2DD733" w14:textId="77777777" w:rsidR="00417258" w:rsidRDefault="00417258"/>
    <w:p w14:paraId="18A57B9F" w14:textId="77777777" w:rsidR="00417258" w:rsidRDefault="0041725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352ACE" wp14:editId="79B7EED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58E4D" w14:textId="77777777" w:rsidR="00417258" w:rsidRDefault="004172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352A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F58E4D" w14:textId="77777777" w:rsidR="00417258" w:rsidRDefault="004172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84502A" w14:textId="77777777" w:rsidR="00417258" w:rsidRDefault="00417258"/>
    <w:p w14:paraId="32042716" w14:textId="77777777" w:rsidR="00417258" w:rsidRDefault="00417258"/>
    <w:p w14:paraId="645C49F0" w14:textId="77777777" w:rsidR="00417258" w:rsidRDefault="0041725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5264F5" wp14:editId="13F7BC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D1A4" w14:textId="77777777" w:rsidR="00417258" w:rsidRDefault="00417258"/>
                          <w:p w14:paraId="1BE77DA3" w14:textId="77777777" w:rsidR="00417258" w:rsidRDefault="004172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5264F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030D1A4" w14:textId="77777777" w:rsidR="00417258" w:rsidRDefault="00417258"/>
                    <w:p w14:paraId="1BE77DA3" w14:textId="77777777" w:rsidR="00417258" w:rsidRDefault="0041725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8D58F3" w14:textId="77777777" w:rsidR="00417258" w:rsidRDefault="00417258"/>
    <w:p w14:paraId="209A372C" w14:textId="77777777" w:rsidR="00417258" w:rsidRDefault="00417258">
      <w:pPr>
        <w:rPr>
          <w:sz w:val="2"/>
          <w:szCs w:val="2"/>
        </w:rPr>
      </w:pPr>
    </w:p>
    <w:p w14:paraId="5743651B" w14:textId="77777777" w:rsidR="00417258" w:rsidRDefault="00417258"/>
    <w:p w14:paraId="4F8A99A5" w14:textId="77777777" w:rsidR="00417258" w:rsidRDefault="00417258">
      <w:pPr>
        <w:spacing w:after="0" w:line="240" w:lineRule="auto"/>
      </w:pPr>
    </w:p>
  </w:footnote>
  <w:footnote w:type="continuationSeparator" w:id="0">
    <w:p w14:paraId="523EA4A2" w14:textId="77777777" w:rsidR="00417258" w:rsidRDefault="00417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8"/>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137989</TotalTime>
  <Pages>2</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3633</cp:revision>
  <cp:lastPrinted>2009-02-06T05:36:00Z</cp:lastPrinted>
  <dcterms:created xsi:type="dcterms:W3CDTF">2024-01-07T13:43:00Z</dcterms:created>
  <dcterms:modified xsi:type="dcterms:W3CDTF">2025-07-21T11:20:00Z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