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89A4" w14:textId="77777777" w:rsidR="000852B2" w:rsidRDefault="000852B2" w:rsidP="000852B2">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Сабитов, Рифат </w:t>
      </w:r>
      <w:proofErr w:type="spellStart"/>
      <w:r>
        <w:rPr>
          <w:rFonts w:ascii="Helvetica" w:hAnsi="Helvetica" w:cs="Helvetica"/>
          <w:b/>
          <w:bCs w:val="0"/>
          <w:color w:val="222222"/>
          <w:sz w:val="21"/>
          <w:szCs w:val="21"/>
        </w:rPr>
        <w:t>Абдулвагапович</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Механизм формирования государственной информационной политики за </w:t>
      </w:r>
      <w:proofErr w:type="gramStart"/>
      <w:r>
        <w:rPr>
          <w:rFonts w:ascii="Helvetica" w:hAnsi="Helvetica" w:cs="Helvetica"/>
          <w:color w:val="222222"/>
          <w:sz w:val="21"/>
          <w:szCs w:val="21"/>
        </w:rPr>
        <w:t>рубежом :</w:t>
      </w:r>
      <w:proofErr w:type="gramEnd"/>
      <w:r>
        <w:rPr>
          <w:rFonts w:ascii="Helvetica" w:hAnsi="Helvetica" w:cs="Helvetica"/>
          <w:color w:val="222222"/>
          <w:sz w:val="21"/>
          <w:szCs w:val="21"/>
        </w:rPr>
        <w:t xml:space="preserve"> Институциональный анализ : диссертация ... кандидата политических наук : 23.00.04. - Москва, 2000. - 216 с.</w:t>
      </w:r>
    </w:p>
    <w:p w14:paraId="410339C3" w14:textId="77777777" w:rsidR="000852B2" w:rsidRDefault="000852B2" w:rsidP="000852B2">
      <w:pPr>
        <w:pStyle w:val="20"/>
        <w:spacing w:before="0" w:after="312"/>
        <w:rPr>
          <w:rFonts w:ascii="Arial" w:hAnsi="Arial" w:cs="Arial"/>
          <w:caps/>
          <w:color w:val="333333"/>
          <w:sz w:val="27"/>
          <w:szCs w:val="27"/>
        </w:rPr>
      </w:pPr>
    </w:p>
    <w:p w14:paraId="33CBB7DF" w14:textId="77777777" w:rsidR="000852B2" w:rsidRDefault="000852B2" w:rsidP="000852B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Сабитов, Рифат </w:t>
      </w:r>
      <w:proofErr w:type="spellStart"/>
      <w:r>
        <w:rPr>
          <w:rFonts w:ascii="Arial" w:hAnsi="Arial" w:cs="Arial"/>
          <w:color w:val="646B71"/>
          <w:sz w:val="18"/>
          <w:szCs w:val="18"/>
        </w:rPr>
        <w:t>Абдулвагапович</w:t>
      </w:r>
      <w:proofErr w:type="spellEnd"/>
    </w:p>
    <w:p w14:paraId="2959AB2C"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7008838F"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Методология формирования государственной 19-89 информационной политики: зарубежный опыт и практика</w:t>
      </w:r>
    </w:p>
    <w:p w14:paraId="11ABF738"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Элементы теории массовой коммуникации в деятельности</w:t>
      </w:r>
    </w:p>
    <w:p w14:paraId="0D37D2F9"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СМИ: гносеологический анализ.19</w:t>
      </w:r>
    </w:p>
    <w:p w14:paraId="31A553B4"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Структура формирования информационной политики за рубежом: тенденции и практика.46</w:t>
      </w:r>
    </w:p>
    <w:p w14:paraId="2E88F18A"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Механизмы разработки политики по освещению избирательных кампаний в электронных СМИ: международный опыт.58</w:t>
      </w:r>
    </w:p>
    <w:p w14:paraId="56A70A1B"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И. Политический анализ теории коммуникативного 90- 140 процесса </w:t>
      </w:r>
      <w:proofErr w:type="spellStart"/>
      <w:r>
        <w:rPr>
          <w:rFonts w:ascii="Arial" w:hAnsi="Arial" w:cs="Arial"/>
          <w:color w:val="333333"/>
          <w:sz w:val="21"/>
          <w:szCs w:val="21"/>
        </w:rPr>
        <w:t>Г.Лассуэлла</w:t>
      </w:r>
      <w:proofErr w:type="spellEnd"/>
      <w:r>
        <w:rPr>
          <w:rFonts w:ascii="Arial" w:hAnsi="Arial" w:cs="Arial"/>
          <w:color w:val="333333"/>
          <w:sz w:val="21"/>
          <w:szCs w:val="21"/>
        </w:rPr>
        <w:t xml:space="preserve"> и его роль в формировании информационной политики.</w:t>
      </w:r>
    </w:p>
    <w:p w14:paraId="613B98E1"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.Институциональный</w:t>
      </w:r>
      <w:proofErr w:type="gramEnd"/>
      <w:r>
        <w:rPr>
          <w:rFonts w:ascii="Arial" w:hAnsi="Arial" w:cs="Arial"/>
          <w:color w:val="333333"/>
          <w:sz w:val="21"/>
          <w:szCs w:val="21"/>
        </w:rPr>
        <w:t xml:space="preserve"> анализ политической коммуникации и ееставляющих.90</w:t>
      </w:r>
    </w:p>
    <w:p w14:paraId="4664DF3B"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Семантика политического языка в </w:t>
      </w:r>
      <w:proofErr w:type="spellStart"/>
      <w:r>
        <w:rPr>
          <w:rFonts w:ascii="Arial" w:hAnsi="Arial" w:cs="Arial"/>
          <w:color w:val="333333"/>
          <w:sz w:val="21"/>
          <w:szCs w:val="21"/>
        </w:rPr>
        <w:t>деятельностивременных</w:t>
      </w:r>
      <w:proofErr w:type="spellEnd"/>
      <w:r>
        <w:rPr>
          <w:rFonts w:ascii="Arial" w:hAnsi="Arial" w:cs="Arial"/>
          <w:color w:val="333333"/>
          <w:sz w:val="21"/>
          <w:szCs w:val="21"/>
        </w:rPr>
        <w:t xml:space="preserve"> СМИ.98</w:t>
      </w:r>
    </w:p>
    <w:p w14:paraId="26D4BF10"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Техника пропаганды и ее роль </w:t>
      </w:r>
      <w:proofErr w:type="spellStart"/>
      <w:r>
        <w:rPr>
          <w:rFonts w:ascii="Arial" w:hAnsi="Arial" w:cs="Arial"/>
          <w:color w:val="333333"/>
          <w:sz w:val="21"/>
          <w:szCs w:val="21"/>
        </w:rPr>
        <w:t>ввременной</w:t>
      </w:r>
      <w:proofErr w:type="spellEnd"/>
      <w:r>
        <w:rPr>
          <w:rFonts w:ascii="Arial" w:hAnsi="Arial" w:cs="Arial"/>
          <w:color w:val="333333"/>
          <w:sz w:val="21"/>
          <w:szCs w:val="21"/>
        </w:rPr>
        <w:t xml:space="preserve"> политической коммуникации.111</w:t>
      </w:r>
    </w:p>
    <w:p w14:paraId="4AB2A07A"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w:t>
      </w:r>
      <w:proofErr w:type="spellStart"/>
      <w:r>
        <w:rPr>
          <w:rFonts w:ascii="Arial" w:hAnsi="Arial" w:cs="Arial"/>
          <w:color w:val="333333"/>
          <w:sz w:val="21"/>
          <w:szCs w:val="21"/>
        </w:rPr>
        <w:t>Структурогенез</w:t>
      </w:r>
      <w:proofErr w:type="spellEnd"/>
      <w:r>
        <w:rPr>
          <w:rFonts w:ascii="Arial" w:hAnsi="Arial" w:cs="Arial"/>
          <w:color w:val="333333"/>
          <w:sz w:val="21"/>
          <w:szCs w:val="21"/>
        </w:rPr>
        <w:t xml:space="preserve"> информационной политики за 126-187 рубежом: компаративный анализ тенденций.</w:t>
      </w:r>
    </w:p>
    <w:p w14:paraId="41C35617"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этапы разработки общеевропейского законодательства в области СМИ. 126</w:t>
      </w:r>
    </w:p>
    <w:p w14:paraId="7DCA8E2A"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Государственная политика управления деятельностью СМИ в ФРГ.141</w:t>
      </w:r>
    </w:p>
    <w:p w14:paraId="5EBCCAFB"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Информационная политика в деятельности электронных СМИ во Франции. 157</w:t>
      </w:r>
    </w:p>
    <w:p w14:paraId="0BC3E46A"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Традиции и инновации в телерадиовещании Великобритании (на примере корпорации Би-Би-Си) 167</w:t>
      </w:r>
    </w:p>
    <w:p w14:paraId="751E7931" w14:textId="77777777" w:rsidR="000852B2" w:rsidRDefault="000852B2" w:rsidP="000852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Государственная политика вере телерадиовещания в США: анализ основных направлений. 177</w:t>
      </w:r>
    </w:p>
    <w:p w14:paraId="4FDAD129" w14:textId="7F7E111E" w:rsidR="00BD642D" w:rsidRPr="000852B2" w:rsidRDefault="00BD642D" w:rsidP="000852B2"/>
    <w:sectPr w:rsidR="00BD642D" w:rsidRPr="000852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56ED" w14:textId="77777777" w:rsidR="00DF3B0A" w:rsidRDefault="00DF3B0A">
      <w:pPr>
        <w:spacing w:after="0" w:line="240" w:lineRule="auto"/>
      </w:pPr>
      <w:r>
        <w:separator/>
      </w:r>
    </w:p>
  </w:endnote>
  <w:endnote w:type="continuationSeparator" w:id="0">
    <w:p w14:paraId="735216E1" w14:textId="77777777" w:rsidR="00DF3B0A" w:rsidRDefault="00DF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30DC" w14:textId="77777777" w:rsidR="00DF3B0A" w:rsidRDefault="00DF3B0A"/>
    <w:p w14:paraId="57FD28E2" w14:textId="77777777" w:rsidR="00DF3B0A" w:rsidRDefault="00DF3B0A"/>
    <w:p w14:paraId="26165273" w14:textId="77777777" w:rsidR="00DF3B0A" w:rsidRDefault="00DF3B0A"/>
    <w:p w14:paraId="4165D248" w14:textId="77777777" w:rsidR="00DF3B0A" w:rsidRDefault="00DF3B0A"/>
    <w:p w14:paraId="7A40D916" w14:textId="77777777" w:rsidR="00DF3B0A" w:rsidRDefault="00DF3B0A"/>
    <w:p w14:paraId="24D52564" w14:textId="77777777" w:rsidR="00DF3B0A" w:rsidRDefault="00DF3B0A"/>
    <w:p w14:paraId="200845AC" w14:textId="77777777" w:rsidR="00DF3B0A" w:rsidRDefault="00DF3B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3F4C9" wp14:editId="34D2A6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D129" w14:textId="77777777" w:rsidR="00DF3B0A" w:rsidRDefault="00DF3B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3F4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03D129" w14:textId="77777777" w:rsidR="00DF3B0A" w:rsidRDefault="00DF3B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6590E0" w14:textId="77777777" w:rsidR="00DF3B0A" w:rsidRDefault="00DF3B0A"/>
    <w:p w14:paraId="6B73E6D2" w14:textId="77777777" w:rsidR="00DF3B0A" w:rsidRDefault="00DF3B0A"/>
    <w:p w14:paraId="586AF375" w14:textId="77777777" w:rsidR="00DF3B0A" w:rsidRDefault="00DF3B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3FC56E" wp14:editId="7985D5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6E80" w14:textId="77777777" w:rsidR="00DF3B0A" w:rsidRDefault="00DF3B0A"/>
                          <w:p w14:paraId="4016035C" w14:textId="77777777" w:rsidR="00DF3B0A" w:rsidRDefault="00DF3B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FC5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C26E80" w14:textId="77777777" w:rsidR="00DF3B0A" w:rsidRDefault="00DF3B0A"/>
                    <w:p w14:paraId="4016035C" w14:textId="77777777" w:rsidR="00DF3B0A" w:rsidRDefault="00DF3B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0AC25F" w14:textId="77777777" w:rsidR="00DF3B0A" w:rsidRDefault="00DF3B0A"/>
    <w:p w14:paraId="29CF7B73" w14:textId="77777777" w:rsidR="00DF3B0A" w:rsidRDefault="00DF3B0A">
      <w:pPr>
        <w:rPr>
          <w:sz w:val="2"/>
          <w:szCs w:val="2"/>
        </w:rPr>
      </w:pPr>
    </w:p>
    <w:p w14:paraId="17BFA274" w14:textId="77777777" w:rsidR="00DF3B0A" w:rsidRDefault="00DF3B0A"/>
    <w:p w14:paraId="2DC7EE0B" w14:textId="77777777" w:rsidR="00DF3B0A" w:rsidRDefault="00DF3B0A">
      <w:pPr>
        <w:spacing w:after="0" w:line="240" w:lineRule="auto"/>
      </w:pPr>
    </w:p>
  </w:footnote>
  <w:footnote w:type="continuationSeparator" w:id="0">
    <w:p w14:paraId="636C0B81" w14:textId="77777777" w:rsidR="00DF3B0A" w:rsidRDefault="00DF3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0A"/>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92079</TotalTime>
  <Pages>2</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cp:revision>
  <cp:lastPrinted>2009-02-06T05:36:00Z</cp:lastPrinted>
  <dcterms:created xsi:type="dcterms:W3CDTF">2024-01-07T13:43:00Z</dcterms:created>
  <dcterms:modified xsi:type="dcterms:W3CDTF">2025-05-08T22:36:00Z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